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仿宋_GB2312"/>
          <w:sz w:val="32"/>
          <w:szCs w:val="32"/>
        </w:rPr>
      </w:pPr>
      <w:r>
        <w:rPr>
          <w:rFonts w:hint="eastAsia" w:ascii="黑体" w:hAnsi="黑体" w:eastAsia="黑体" w:cs="仿宋_GB2312"/>
          <w:sz w:val="32"/>
          <w:szCs w:val="32"/>
        </w:rPr>
        <w:t>附件1</w:t>
      </w:r>
    </w:p>
    <w:p>
      <w:pPr>
        <w:spacing w:line="72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武汉市农业农村局涉企行政处罚“三张清单”</w:t>
      </w:r>
    </w:p>
    <w:p>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黑体" w:eastAsia="方正小标宋简体" w:cs="宋体"/>
          <w:bCs/>
          <w:color w:val="000000"/>
          <w:kern w:val="0"/>
          <w:sz w:val="44"/>
          <w:szCs w:val="44"/>
        </w:rPr>
        <w:t>不予处罚事项清单</w:t>
      </w:r>
    </w:p>
    <w:tbl>
      <w:tblPr>
        <w:tblStyle w:val="4"/>
        <w:tblW w:w="0" w:type="auto"/>
        <w:jc w:val="center"/>
        <w:tblLayout w:type="fixed"/>
        <w:tblCellMar>
          <w:top w:w="0" w:type="dxa"/>
          <w:left w:w="0" w:type="dxa"/>
          <w:bottom w:w="0" w:type="dxa"/>
          <w:right w:w="0" w:type="dxa"/>
        </w:tblCellMar>
      </w:tblPr>
      <w:tblGrid>
        <w:gridCol w:w="744"/>
        <w:gridCol w:w="2275"/>
        <w:gridCol w:w="3716"/>
        <w:gridCol w:w="3603"/>
        <w:gridCol w:w="4439"/>
      </w:tblGrid>
      <w:tr>
        <w:tblPrEx>
          <w:tblCellMar>
            <w:top w:w="0" w:type="dxa"/>
            <w:left w:w="0" w:type="dxa"/>
            <w:bottom w:w="0" w:type="dxa"/>
            <w:right w:w="0" w:type="dxa"/>
          </w:tblCellMar>
        </w:tblPrEx>
        <w:trPr>
          <w:cantSplit/>
          <w:trHeight w:val="322" w:hRule="atLeast"/>
          <w:tblHeader/>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处罚事项</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不予处罚的情形</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不予处罚的依据</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备  注</w:t>
            </w:r>
          </w:p>
        </w:tc>
      </w:tr>
      <w:tr>
        <w:tblPrEx>
          <w:tblCellMar>
            <w:top w:w="0" w:type="dxa"/>
            <w:left w:w="0" w:type="dxa"/>
            <w:bottom w:w="0" w:type="dxa"/>
            <w:right w:w="0" w:type="dxa"/>
          </w:tblCellMar>
        </w:tblPrEx>
        <w:trPr>
          <w:cantSplit/>
          <w:trHeight w:val="4826" w:hRule="atLeast"/>
          <w:jc w:val="center"/>
        </w:trPr>
        <w:tc>
          <w:tcPr>
            <w:tcW w:w="744"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2275"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对从事动物疫病研究与诊疗和动物饲养、屠宰、经营、隔离、运输，以及动物产品生产、经营、加工、贮藏等活动的单位和个人发现动物染疫、疑似染疫未报告，或者未采取隔离等控制措施；不如实提供与动物防疫有关资料；拒绝或者阻碍农业农村主管部门进行监督检查；拒绝或者阻碍动物疫病预防控制机构进行动物疫病监测、检测、评估；拒绝或者阻碍官方兽医依法履行职责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当事人发现动物染疫、疑似染疫未报告，或者未采取隔离等控制措施；不如实提供与动物防疫有关资料；拒绝或者阻碍农业农村主管部门进行监督检查；拒绝或者阻碍动物疫病预防控制机构进行动物疫病监测、检测、评估；拒绝或者阻碍官方兽医依法履行职责，初次违法且危害后果轻微并及时改正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二）不如实提供与动物防疫有关的资料的；（三）拒绝或者阻碍农业农村主管部门进行监督检查的；（四）拒绝或者阻碍动物疫病预防控制机构进行动物疫病监测、检测、评估的；（五）拒绝或者阻碍官方兽医依法履行职责的。</w:t>
            </w:r>
          </w:p>
        </w:tc>
      </w:tr>
      <w:tr>
        <w:tblPrEx>
          <w:tblCellMar>
            <w:top w:w="0" w:type="dxa"/>
            <w:left w:w="0" w:type="dxa"/>
            <w:bottom w:w="0" w:type="dxa"/>
            <w:right w:w="0" w:type="dxa"/>
          </w:tblCellMar>
        </w:tblPrEx>
        <w:trPr>
          <w:cantSplit/>
          <w:trHeight w:val="2048" w:hRule="atLeast"/>
          <w:jc w:val="center"/>
        </w:trPr>
        <w:tc>
          <w:tcPr>
            <w:tcW w:w="744" w:type="dxa"/>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2275" w:type="dxa"/>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对未依法取得养殖证或者超越养殖证许可范围在全民所有的水域从事养殖生产，妨碍航运、行洪的行政处罚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当事人未依法取得养殖证，妨碍航运、行洪,情节轻微，没有造成危害后果，限期补办养殖证或者拆除养殖设施的。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《中华人民共和国渔业法》第四十条第三款：未依法取得养殖证或者超越养殖证许可范围在全民所有的水域从事养殖生产，妨碍航运、行洪的，责令限期拆除养殖设施，可以并处一万元以下的罚款。</w:t>
            </w:r>
          </w:p>
        </w:tc>
      </w:tr>
      <w:tr>
        <w:tblPrEx>
          <w:tblCellMar>
            <w:top w:w="0" w:type="dxa"/>
            <w:left w:w="0" w:type="dxa"/>
            <w:bottom w:w="0" w:type="dxa"/>
            <w:right w:w="0" w:type="dxa"/>
          </w:tblCellMar>
        </w:tblPrEx>
        <w:trPr>
          <w:cantSplit/>
          <w:trHeight w:val="2512"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对兽药包装上未附有标签和说明书，或者标签和说明书与批准的内容不一致的行政处罚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当事人兽药包装上未附有标签和说明书，或者标签和说明书与批准的内容不一致，初次违法且危害后果轻微并及时改正的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《兽药管理条例》第六十条 违反本条例规定，兽药的标签和说明书未经批准的，责令其限期改正;逾期不改正的，按照生产、经营假兽药处罚;有兽药产品批准文号的，撤销兽药产品批准文号;给他人造成损失的，依法承担赔偿责任。兽药包装上未附有标签和说明书，或者标签和说明书与批准的内容不一致的，责令其限期改正;情节严重的，依照前款规定处罚。</w:t>
            </w:r>
          </w:p>
        </w:tc>
      </w:tr>
      <w:tr>
        <w:tblPrEx>
          <w:tblCellMar>
            <w:top w:w="0" w:type="dxa"/>
            <w:left w:w="0" w:type="dxa"/>
            <w:bottom w:w="0" w:type="dxa"/>
            <w:right w:w="0" w:type="dxa"/>
          </w:tblCellMar>
        </w:tblPrEx>
        <w:trPr>
          <w:cantSplit/>
          <w:trHeight w:val="2323"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sz w:val="20"/>
                <w:szCs w:val="20"/>
              </w:rPr>
            </w:pPr>
            <w:r>
              <w:rPr>
                <w:rFonts w:hint="eastAsia" w:ascii="宋体" w:hAnsi="宋体" w:cs="宋体"/>
                <w:color w:val="000000"/>
                <w:sz w:val="20"/>
                <w:szCs w:val="20"/>
              </w:rPr>
              <w:t>4</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对兽药的标签和说明书未经批准的行政处罚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当事人兽药的标签和说明书未经批准，初次违法且危害后果轻微并及时改正的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兽药管理条例》第六十条第一款：违反本条例规定，兽药的标签和说明书未经批准的，责令其限期改正;逾期不改正的，按照生产、经营假兽药处罚;有兽药产品批准文号的，撤销兽药产品批准文号;给他人造成损失的，依法承担赔偿责任。</w:t>
            </w:r>
          </w:p>
        </w:tc>
      </w:tr>
      <w:tr>
        <w:tblPrEx>
          <w:tblCellMar>
            <w:top w:w="0" w:type="dxa"/>
            <w:left w:w="0" w:type="dxa"/>
            <w:bottom w:w="0" w:type="dxa"/>
            <w:right w:w="0" w:type="dxa"/>
          </w:tblCellMar>
        </w:tblPrEx>
        <w:trPr>
          <w:cantSplit/>
          <w:trHeight w:val="2097"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对销售的农产品未按照规定进行包装、标识的行政处罚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当事人销售的农产品未按照规定进行包装、标识，违法行为轻微并及时改正，没有造成危害后果的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《中华人民共和国农产品质量安全法》第四十八条：违反本法第二十八条规定，销售的农产品未按照规定进行包装、标识的，责令限期改正；逾期不改正的，可以处二千元以下罚款</w:t>
            </w:r>
          </w:p>
        </w:tc>
      </w:tr>
      <w:tr>
        <w:tblPrEx>
          <w:tblCellMar>
            <w:top w:w="0" w:type="dxa"/>
            <w:left w:w="0" w:type="dxa"/>
            <w:bottom w:w="0" w:type="dxa"/>
            <w:right w:w="0" w:type="dxa"/>
          </w:tblCellMar>
        </w:tblPrEx>
        <w:trPr>
          <w:cantSplit/>
          <w:trHeight w:val="2867"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sz w:val="20"/>
                <w:szCs w:val="20"/>
                <w:lang w:val="en"/>
              </w:rPr>
            </w:pPr>
            <w:r>
              <w:rPr>
                <w:rFonts w:hint="eastAsia" w:ascii="宋体" w:hAnsi="宋体" w:cs="宋体"/>
                <w:color w:val="000000"/>
                <w:kern w:val="0"/>
                <w:sz w:val="20"/>
                <w:szCs w:val="20"/>
                <w:lang w:bidi="ar"/>
              </w:rPr>
              <w:t>6</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农药经营者不执行农药采购台账、销售台账制度；在卫生用农药以外的农药经营场所内经营食品、食用农产品、饲料；未将卫生用农药与其他商品分柜销售；不履行农药废弃物回收义务的行政处罚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当事人不执行农药采购台账、销售台账制度；在卫生用农药以外的农药经营场所内经营食品、食用农产品、饲料；未将卫生用农药与其他商品分柜销售；不履行农药废弃物回收义务，违法行为轻微并及时改正，没有造成危害后果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adjustRightInd w:val="0"/>
              <w:snapToGrid w:val="0"/>
              <w:spacing w:after="225" w:line="300" w:lineRule="exact"/>
              <w:rPr>
                <w:rFonts w:hint="eastAsia" w:ascii="宋体" w:hAnsi="宋体" w:cs="宋体"/>
                <w:color w:val="000000"/>
                <w:sz w:val="20"/>
                <w:szCs w:val="20"/>
              </w:rPr>
            </w:pPr>
            <w:r>
              <w:rPr>
                <w:rFonts w:hint="eastAsia" w:ascii="宋体" w:hAnsi="宋体" w:cs="宋体"/>
                <w:color w:val="000000"/>
                <w:kern w:val="0"/>
                <w:sz w:val="20"/>
                <w:szCs w:val="20"/>
                <w:lang w:bidi="ar"/>
              </w:rPr>
              <w:t>《农药管理条例》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r>
      <w:tr>
        <w:tblPrEx>
          <w:tblCellMar>
            <w:top w:w="0" w:type="dxa"/>
            <w:left w:w="0" w:type="dxa"/>
            <w:bottom w:w="0" w:type="dxa"/>
            <w:right w:w="0" w:type="dxa"/>
          </w:tblCellMar>
        </w:tblPrEx>
        <w:trPr>
          <w:cantSplit/>
          <w:trHeight w:val="2201"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农产品生产企业、食品和食用农产品仓储企业、专业化病虫害防治服务组织和从事农产品生产的农民专业合作社等不执行农药使用记录制度的行政处罚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农产品生产企业、食品和食用农产品仓储企业、专业化病虫害防治服务组织和从事农产品生产的农民专业合作社等不执行农药使用记录制度，初次违法且危害后果轻微并及时改正的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CellMar>
            <w:top w:w="0" w:type="dxa"/>
            <w:left w:w="0" w:type="dxa"/>
            <w:bottom w:w="0" w:type="dxa"/>
            <w:right w:w="0" w:type="dxa"/>
          </w:tblCellMar>
        </w:tblPrEx>
        <w:trPr>
          <w:cantSplit/>
          <w:trHeight w:val="2239"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sz w:val="20"/>
                <w:szCs w:val="20"/>
              </w:rPr>
            </w:pPr>
            <w:r>
              <w:rPr>
                <w:rFonts w:hint="eastAsia" w:ascii="宋体" w:hAnsi="宋体" w:cs="宋体"/>
                <w:color w:val="000000"/>
                <w:sz w:val="20"/>
                <w:szCs w:val="20"/>
                <w:shd w:val="clear" w:color="auto" w:fill="FFFFFF"/>
              </w:rPr>
              <w:t>对未按规定建立畜禽养殖记录的行政处罚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sz w:val="20"/>
                <w:szCs w:val="20"/>
                <w:shd w:val="clear" w:color="auto" w:fill="FFFFFF"/>
              </w:rPr>
              <w:t>未按规定建立畜禽养殖记录，</w:t>
            </w:r>
            <w:r>
              <w:rPr>
                <w:rFonts w:hint="eastAsia" w:ascii="宋体" w:hAnsi="宋体" w:cs="宋体"/>
                <w:color w:val="000000"/>
                <w:kern w:val="0"/>
                <w:sz w:val="20"/>
                <w:szCs w:val="20"/>
                <w:lang w:bidi="ar"/>
              </w:rPr>
              <w:t>及时改正，没有造成危害后果的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《湖北省畜牧条例》第四十七条第二款：</w:t>
            </w:r>
            <w:r>
              <w:rPr>
                <w:rFonts w:hint="eastAsia" w:ascii="宋体" w:hAnsi="宋体" w:cs="宋体"/>
                <w:color w:val="000000"/>
                <w:sz w:val="20"/>
                <w:szCs w:val="20"/>
                <w:shd w:val="clear" w:color="auto" w:fill="FFFFFF"/>
              </w:rPr>
              <w:t>违反本条例第十八条第二款规定未建立养殖记录的，责令改正；逾期未改正的，给予警告，可以处2000元以下罚款。</w:t>
            </w:r>
          </w:p>
        </w:tc>
      </w:tr>
      <w:tr>
        <w:tblPrEx>
          <w:tblCellMar>
            <w:top w:w="0" w:type="dxa"/>
            <w:left w:w="0" w:type="dxa"/>
            <w:bottom w:w="0" w:type="dxa"/>
            <w:right w:w="0" w:type="dxa"/>
          </w:tblCellMar>
        </w:tblPrEx>
        <w:trPr>
          <w:cantSplit/>
          <w:trHeight w:val="2965"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对不符合规定的条件经营饲料、饲料添加剂的行政处罚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不符合规定的条件经营饲料、饲料添加剂，初次违法且危害后果轻微并及时改正的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r>
      <w:tr>
        <w:tblPrEx>
          <w:tblCellMar>
            <w:top w:w="0" w:type="dxa"/>
            <w:left w:w="0" w:type="dxa"/>
            <w:bottom w:w="0" w:type="dxa"/>
            <w:right w:w="0" w:type="dxa"/>
          </w:tblCellMar>
        </w:tblPrEx>
        <w:trPr>
          <w:cantSplit/>
          <w:trHeight w:val="2267"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对畜禽养殖场未建立养殖档案的行政处罚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畜禽养殖场未建立养殖档案，初次违法且危害后果轻微并及时改正的，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湖北省畜牧条例》第四十七条第一款：违反本条例第十八条第一款未建立养殖档案的，或者违反本条例第三十三条第二款和三十五条规定未建立记录的，由畜牧兽医行政主管部门责令限期改正;逾期未改正的，处2000元以上1万元以下罚款</w:t>
            </w:r>
          </w:p>
        </w:tc>
      </w:tr>
      <w:tr>
        <w:tblPrEx>
          <w:tblCellMar>
            <w:top w:w="0" w:type="dxa"/>
            <w:left w:w="0" w:type="dxa"/>
            <w:bottom w:w="0" w:type="dxa"/>
            <w:right w:w="0" w:type="dxa"/>
          </w:tblCellMar>
        </w:tblPrEx>
        <w:trPr>
          <w:cantSplit/>
          <w:trHeight w:val="2239"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对生鲜乳收购站未建立生鲜乳收购、销售和检测记录的行政处罚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生鲜乳收购站未建立生鲜乳收购、销售和检测记录，初次违法且危害后果轻微并及时改正的，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湖北省畜牧条例》第四十七条第一款：违反本条例第十八条第一款未建立养殖档案的，或者违反本条例第三十三条第二款和三十五条规定未建立记录的，由畜牧兽医行政主管部门责令限期改正;逾期未改正的，处2000元以上1万元以下罚款</w:t>
            </w:r>
          </w:p>
        </w:tc>
      </w:tr>
      <w:tr>
        <w:tblPrEx>
          <w:tblCellMar>
            <w:top w:w="0" w:type="dxa"/>
            <w:left w:w="0" w:type="dxa"/>
            <w:bottom w:w="0" w:type="dxa"/>
            <w:right w:w="0" w:type="dxa"/>
          </w:tblCellMar>
        </w:tblPrEx>
        <w:trPr>
          <w:cantSplit/>
          <w:trHeight w:val="2398" w:hRule="exact"/>
          <w:jc w:val="center"/>
        </w:trPr>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2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对畜禽产品生产企业未建立生产记录的行政处罚</w:t>
            </w:r>
          </w:p>
        </w:tc>
        <w:tc>
          <w:tcPr>
            <w:tcW w:w="3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畜禽产品生产企业未建立生产记录，初次违法且危害后果轻微并及时改正的，</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《中华人民共和国行政处罚法》第三十三条</w:t>
            </w:r>
            <w:r>
              <w:rPr>
                <w:rFonts w:ascii="宋体" w:hAnsi="宋体" w:cs="宋体"/>
                <w:color w:val="000000"/>
                <w:kern w:val="0"/>
                <w:sz w:val="20"/>
                <w:szCs w:val="20"/>
                <w:lang w:val="en" w:bidi="ar"/>
              </w:rPr>
              <w:t xml:space="preserve"> </w:t>
            </w:r>
            <w:r>
              <w:rPr>
                <w:rFonts w:hint="eastAsia" w:ascii="宋体" w:hAnsi="宋体" w:cs="宋体"/>
                <w:color w:val="000000"/>
                <w:kern w:val="0"/>
                <w:sz w:val="20"/>
                <w:szCs w:val="20"/>
                <w:lang w:bidi="ar"/>
              </w:rPr>
              <w:t>违法行为轻微并及时改正，没有造成危害后果的，不予行政处罚。初次违法且危害后果轻微并及时改正的，可以不予行政处罚。当事人有证据足以证明没有主观过错的，不予行政处罚。法律、行政法规另有规定的，从其规定。</w:t>
            </w:r>
          </w:p>
        </w:tc>
        <w:tc>
          <w:tcPr>
            <w:tcW w:w="4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湖北省畜牧条例》第四十七条第一款：违反本条例第十八条第一款未建立养殖档案的，或者违反本条例第三十三条第二款和三十五条规定未建立记录的，由畜牧兽医行政主管部门责令限期改正;逾期未改正的，处2000元以上1万元以下罚款</w:t>
            </w:r>
          </w:p>
        </w:tc>
      </w:tr>
    </w:tbl>
    <w:p>
      <w:pPr>
        <w:spacing w:line="600" w:lineRule="exact"/>
        <w:rPr>
          <w:rFonts w:hint="eastAsia" w:ascii="方正小标宋简体" w:hAnsi="黑体" w:eastAsia="方正小标宋简体" w:cs="宋体"/>
          <w:bCs/>
          <w:color w:val="000000"/>
          <w:kern w:val="0"/>
          <w:sz w:val="36"/>
          <w:szCs w:val="36"/>
        </w:rPr>
        <w:sectPr>
          <w:pgSz w:w="16838" w:h="11906" w:orient="landscape"/>
          <w:pgMar w:top="1191" w:right="1021" w:bottom="1191" w:left="1021" w:header="851" w:footer="1021" w:gutter="0"/>
          <w:pgNumType w:fmt="numberInDash"/>
          <w:cols w:space="720" w:num="1"/>
          <w:docGrid w:type="lines" w:linePitch="312" w:charSpace="0"/>
        </w:sectPr>
      </w:pPr>
    </w:p>
    <w:p>
      <w:pPr>
        <w:spacing w:line="720" w:lineRule="exact"/>
        <w:jc w:val="center"/>
        <w:rPr>
          <w:rFonts w:hint="eastAsia" w:ascii="方正小标宋简体" w:hAnsi="仿宋_GB2312" w:eastAsia="方正小标宋简体" w:cs="仿宋_GB2312"/>
          <w:bCs/>
          <w:color w:val="000000"/>
          <w:kern w:val="0"/>
          <w:sz w:val="44"/>
          <w:szCs w:val="44"/>
        </w:rPr>
      </w:pPr>
      <w:r>
        <w:rPr>
          <w:rFonts w:hint="eastAsia" w:ascii="方正小标宋简体" w:hAnsi="仿宋_GB2312" w:eastAsia="方正小标宋简体" w:cs="仿宋_GB2312"/>
          <w:bCs/>
          <w:color w:val="000000"/>
          <w:kern w:val="0"/>
          <w:sz w:val="44"/>
          <w:szCs w:val="44"/>
        </w:rPr>
        <w:t>减轻处罚事项清单</w:t>
      </w:r>
    </w:p>
    <w:tbl>
      <w:tblPr>
        <w:tblStyle w:val="4"/>
        <w:tblW w:w="0" w:type="auto"/>
        <w:jc w:val="center"/>
        <w:tblLayout w:type="fixed"/>
        <w:tblCellMar>
          <w:top w:w="0" w:type="dxa"/>
          <w:left w:w="0" w:type="dxa"/>
          <w:bottom w:w="0" w:type="dxa"/>
          <w:right w:w="0" w:type="dxa"/>
        </w:tblCellMar>
      </w:tblPr>
      <w:tblGrid>
        <w:gridCol w:w="821"/>
        <w:gridCol w:w="1527"/>
        <w:gridCol w:w="3124"/>
        <w:gridCol w:w="4744"/>
        <w:gridCol w:w="3691"/>
      </w:tblGrid>
      <w:tr>
        <w:tblPrEx>
          <w:tblCellMar>
            <w:top w:w="0" w:type="dxa"/>
            <w:left w:w="0" w:type="dxa"/>
            <w:bottom w:w="0" w:type="dxa"/>
            <w:right w:w="0" w:type="dxa"/>
          </w:tblCellMar>
        </w:tblPrEx>
        <w:trPr>
          <w:cantSplit/>
          <w:trHeight w:val="395" w:hRule="atLeast"/>
          <w:tblHeader/>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处罚事项</w:t>
            </w:r>
          </w:p>
        </w:tc>
        <w:tc>
          <w:tcPr>
            <w:tcW w:w="3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减轻处罚的情形</w:t>
            </w:r>
          </w:p>
        </w:tc>
        <w:tc>
          <w:tcPr>
            <w:tcW w:w="4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减轻处罚的依据</w:t>
            </w: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30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备  注</w:t>
            </w:r>
          </w:p>
        </w:tc>
      </w:tr>
      <w:tr>
        <w:tblPrEx>
          <w:tblCellMar>
            <w:top w:w="0" w:type="dxa"/>
            <w:left w:w="0" w:type="dxa"/>
            <w:bottom w:w="0" w:type="dxa"/>
            <w:right w:w="0" w:type="dxa"/>
          </w:tblCellMar>
        </w:tblPrEx>
        <w:trPr>
          <w:cantSplit/>
          <w:trHeight w:val="2487"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center"/>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1</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对未经兽医开具处方销售、购买、使用兽用处方药的行政处罚</w:t>
            </w:r>
          </w:p>
        </w:tc>
        <w:tc>
          <w:tcPr>
            <w:tcW w:w="3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当事人未经兽医开具处方，而购买、使用兽用处方药违法所得不足一万元的。</w:t>
            </w:r>
          </w:p>
        </w:tc>
        <w:tc>
          <w:tcPr>
            <w:tcW w:w="4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300" w:lineRule="exact"/>
              <w:textAlignment w:val="center"/>
              <w:rPr>
                <w:rFonts w:hint="eastAsia" w:ascii="宋体" w:hAnsi="宋体" w:cs="宋体"/>
                <w:kern w:val="0"/>
                <w:sz w:val="20"/>
                <w:szCs w:val="20"/>
              </w:rPr>
            </w:pPr>
            <w:r>
              <w:rPr>
                <w:rFonts w:hint="eastAsia" w:ascii="宋体" w:hAnsi="宋体" w:cs="宋体"/>
                <w:kern w:val="0"/>
                <w:sz w:val="20"/>
                <w:szCs w:val="20"/>
                <w:lang w:bidi="ar"/>
              </w:rPr>
              <w:t>《湖北省农业行政处罚自由裁量权指导基准应用规则》</w:t>
            </w:r>
            <w:r>
              <w:rPr>
                <w:rFonts w:hint="eastAsia" w:ascii="宋体" w:hAnsi="宋体" w:cs="宋体"/>
                <w:kern w:val="0"/>
                <w:sz w:val="20"/>
                <w:szCs w:val="20"/>
              </w:rPr>
              <w:t>第十三条</w:t>
            </w:r>
            <w:r>
              <w:rPr>
                <w:rFonts w:hint="eastAsia" w:ascii="宋体" w:hAnsi="宋体" w:cs="宋体"/>
                <w:kern w:val="0"/>
                <w:sz w:val="20"/>
                <w:szCs w:val="20"/>
                <w:lang w:bidi="ar"/>
              </w:rPr>
              <w:t>当事人具有下列行为或情形之一的，应当依法从轻或者减轻处罚：</w:t>
            </w:r>
            <w:r>
              <w:rPr>
                <w:rFonts w:hint="eastAsia" w:ascii="宋体" w:hAnsi="宋体" w:cs="宋体"/>
                <w:kern w:val="0"/>
                <w:sz w:val="20"/>
                <w:szCs w:val="20"/>
              </w:rPr>
              <w:t>（一）违法行为人年满14周岁不满18周岁的；（二）主动消除或减轻违法行为危害后果的；（三）受他人胁迫实施违法行为的；（四）配合行政执法部门查处违法行为有立功变现的；（五）违法行为人属于残疾人且生活确有困难的；（六）其他轻微违法行为依法应从轻或减轻处罚的。</w:t>
            </w: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300" w:lineRule="exact"/>
              <w:jc w:val="left"/>
              <w:textAlignment w:val="center"/>
              <w:rPr>
                <w:rFonts w:hint="eastAsia" w:ascii="宋体" w:hAnsi="宋体" w:cs="宋体"/>
                <w:kern w:val="0"/>
                <w:sz w:val="20"/>
                <w:szCs w:val="20"/>
              </w:rPr>
            </w:pPr>
            <w:r>
              <w:rPr>
                <w:rFonts w:hint="eastAsia" w:ascii="宋体" w:hAnsi="宋体" w:cs="宋体"/>
                <w:color w:val="333333"/>
                <w:kern w:val="0"/>
                <w:sz w:val="20"/>
                <w:szCs w:val="20"/>
                <w:shd w:val="clear" w:color="auto" w:fill="FFFFFF"/>
                <w:lang w:bidi="ar"/>
              </w:rPr>
              <w:t>《兽药管理条例》第六十六条 违反本条例规定，未经兽医开具处方销售、购买、使用兽用处方药的，责令其限期改正，没收违法所得，并处5万元以下罚款；给他人造成损失的，依法承担赔偿责任。</w:t>
            </w:r>
          </w:p>
        </w:tc>
      </w:tr>
      <w:tr>
        <w:tblPrEx>
          <w:tblCellMar>
            <w:top w:w="0" w:type="dxa"/>
            <w:left w:w="0" w:type="dxa"/>
            <w:bottom w:w="0" w:type="dxa"/>
            <w:right w:w="0" w:type="dxa"/>
          </w:tblCellMar>
        </w:tblPrEx>
        <w:trPr>
          <w:cantSplit/>
          <w:trHeight w:val="2815"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center"/>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2</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对经营未经审定批准的水产苗种的行政处罚</w:t>
            </w:r>
          </w:p>
        </w:tc>
        <w:tc>
          <w:tcPr>
            <w:tcW w:w="3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当事人主动消除或减轻违法行为后果的，责令立即停止经营。</w:t>
            </w:r>
          </w:p>
        </w:tc>
        <w:tc>
          <w:tcPr>
            <w:tcW w:w="4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rPr>
            </w:pPr>
            <w:r>
              <w:rPr>
                <w:rFonts w:hint="eastAsia"/>
              </w:rPr>
              <w:t>《湖北省农业行政处罚自由裁量权指导基准应用规则》第十三条当事人具有下列行为或情形之一的，应当依法从轻或者减轻处罚：（一）违法行为人年满14周岁不满18周岁的；（二）主动消除或减轻违法行为危害后果的；（三）受他人胁迫实施违法行为的；（四）配合行政执法部门查处违法行为有立功变现的；（五）违法行为人属于残疾人且生活确有困难的；（六）其他轻微违法行为依法应从轻或减轻处罚的。</w:t>
            </w: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《中华人民共和国渔业法》第四十四条第二款：经营未经审定批准的水产苗种的，责令立即停止经营，没收违法所得，可以并处五万元以下罚款。</w:t>
            </w:r>
          </w:p>
        </w:tc>
      </w:tr>
      <w:tr>
        <w:tblPrEx>
          <w:tblCellMar>
            <w:top w:w="0" w:type="dxa"/>
            <w:left w:w="0" w:type="dxa"/>
            <w:bottom w:w="0" w:type="dxa"/>
            <w:right w:w="0" w:type="dxa"/>
          </w:tblCellMar>
        </w:tblPrEx>
        <w:trPr>
          <w:cantSplit/>
          <w:trHeight w:val="2944"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center"/>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3</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对设立分支机构未依法变更农药经营许可证，或者未向分支机构所在地县级以上地方人民政府农业主管部门备案的行政处罚</w:t>
            </w:r>
          </w:p>
        </w:tc>
        <w:tc>
          <w:tcPr>
            <w:tcW w:w="3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当事人设立分支机构，一年内未依法变更农药经营许可证，或者未向分支机构所在地县级以上地方人民政府农业主管部门备案的。</w:t>
            </w:r>
          </w:p>
        </w:tc>
        <w:tc>
          <w:tcPr>
            <w:tcW w:w="4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rPr>
            </w:pPr>
            <w:r>
              <w:rPr>
                <w:rFonts w:hint="eastAsia"/>
              </w:rPr>
              <w:t>《湖北省农业行政处罚自由裁量权指导基准应用规则》第十三条当事人具有下列行为或情形之一的，应当依法从轻或者减轻处罚：（一）违法行为人年满14周岁不满18周岁的；（二）主动消除或减轻违法行为危害后果的；（三）受他人胁迫实施违法行为的；（四）配合行政执法部门查处违法行为有立功变现的；（五）违法行为人属于残疾人且生活确有困难的；（六）其他轻微违法行为依法应从轻或减轻处罚的。</w:t>
            </w: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《农药管理条例》第五十七条第（一）项 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p>
        </w:tc>
      </w:tr>
      <w:tr>
        <w:tblPrEx>
          <w:tblCellMar>
            <w:top w:w="0" w:type="dxa"/>
            <w:left w:w="0" w:type="dxa"/>
            <w:bottom w:w="0" w:type="dxa"/>
            <w:right w:w="0" w:type="dxa"/>
          </w:tblCellMar>
        </w:tblPrEx>
        <w:trPr>
          <w:cantSplit/>
          <w:trHeight w:val="2354"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center"/>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4</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对违反种子包装、标签、档案、备案规定的行政处罚</w:t>
            </w:r>
          </w:p>
        </w:tc>
        <w:tc>
          <w:tcPr>
            <w:tcW w:w="3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当事人已建立了档案但不完善。检查后按规定补充完善生产经营档案的相关内容的。</w:t>
            </w:r>
          </w:p>
        </w:tc>
        <w:tc>
          <w:tcPr>
            <w:tcW w:w="4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rPr>
            </w:pPr>
            <w:r>
              <w:rPr>
                <w:rFonts w:hint="eastAsia"/>
              </w:rPr>
              <w:t>《湖北省农业行政处罚自由裁量权指导基准应用规则》第十三条当事人具有下列行为或情形之一的，应当依法从轻或者减轻处罚：（一）违法行为人年满14周岁不满18周岁的；（二）主动消除或减轻违法行为危害后果的；（三）受他人胁迫实施违法行为的；（四）配合行政执法部门查处违法行为有立功变现的；（五）违法行为人属于残疾人且生活确有困难的；（六）其他轻微违法行为依法应从轻或减轻处罚的。</w:t>
            </w: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中华人民共和国种子法》第八十条第（四）项违反本法第三十六条、第三十八条、第四十条、第四十一条规定，有下列行为之一的，由县级以上人民政府农业、林业主管部门责令改正，处二千元以上二万元以下罚款：（四）未按规定建立、保存种子生产经营档案的；</w:t>
            </w:r>
          </w:p>
        </w:tc>
      </w:tr>
      <w:tr>
        <w:tblPrEx>
          <w:tblCellMar>
            <w:top w:w="0" w:type="dxa"/>
            <w:left w:w="0" w:type="dxa"/>
            <w:bottom w:w="0" w:type="dxa"/>
            <w:right w:w="0" w:type="dxa"/>
          </w:tblCellMar>
        </w:tblPrEx>
        <w:trPr>
          <w:cantSplit/>
          <w:trHeight w:val="2829"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center"/>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5</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对违反种子包装、标签、档案、备案规定的行政处罚</w:t>
            </w:r>
          </w:p>
        </w:tc>
        <w:tc>
          <w:tcPr>
            <w:tcW w:w="3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当事人办理了营业执照，专门经营不再分装的包装种子或者受具有种子生产经营许可证的种子生产经营者以书面委托生产、代销其种子，不需要办理种子生产经营许可证，未向当地农业主管部门备案，检查后积极主动向当地农业主管部门申请备案的</w:t>
            </w:r>
          </w:p>
        </w:tc>
        <w:tc>
          <w:tcPr>
            <w:tcW w:w="4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rPr>
            </w:pPr>
            <w:r>
              <w:rPr>
                <w:rFonts w:hint="eastAsia"/>
              </w:rPr>
              <w:t>《湖北省农业行政处罚自由裁量权指导基准应用规则》第十三条当事人具有下列行为或情形之一的，应当依法从轻或者减轻处罚：（一）违法行为人年满14周岁不满18周岁的；（二）主动消除或减轻违法行为危害后果的；（三）受他人胁迫实施违法行为的；（四）配合行政执法部门查处违法行为有立功变现的；（五）违法行为人属于残疾人且生活确有困难的；（六）其他轻微违法行为依法应从轻或减轻处罚的。</w:t>
            </w: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《中华人民共和国种子法》第八十条第（五）项    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p>
        </w:tc>
      </w:tr>
      <w:tr>
        <w:tblPrEx>
          <w:tblCellMar>
            <w:top w:w="0" w:type="dxa"/>
            <w:left w:w="0" w:type="dxa"/>
            <w:bottom w:w="0" w:type="dxa"/>
            <w:right w:w="0" w:type="dxa"/>
          </w:tblCellMar>
        </w:tblPrEx>
        <w:trPr>
          <w:cantSplit/>
          <w:trHeight w:val="3205" w:hRule="atLeast"/>
          <w:jc w:val="center"/>
        </w:trPr>
        <w:tc>
          <w:tcPr>
            <w:tcW w:w="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center"/>
              <w:rPr>
                <w:rFonts w:hint="eastAsia" w:ascii="宋体" w:hAnsi="宋体" w:cs="宋体"/>
                <w:color w:val="333333"/>
                <w:kern w:val="0"/>
                <w:sz w:val="20"/>
                <w:szCs w:val="20"/>
                <w:shd w:val="clear" w:color="auto" w:fill="FFFFFF"/>
                <w:lang w:val="en" w:bidi="ar"/>
              </w:rPr>
            </w:pPr>
            <w:r>
              <w:rPr>
                <w:rFonts w:hint="eastAsia" w:ascii="宋体" w:hAnsi="宋体" w:cs="宋体"/>
                <w:color w:val="333333"/>
                <w:kern w:val="0"/>
                <w:sz w:val="20"/>
                <w:szCs w:val="20"/>
                <w:shd w:val="clear" w:color="auto" w:fill="FFFFFF"/>
                <w:lang w:bidi="ar"/>
              </w:rPr>
              <w:t>6</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对违反种子包装、标签、档案、备案规定的行政处罚</w:t>
            </w:r>
          </w:p>
        </w:tc>
        <w:tc>
          <w:tcPr>
            <w:tcW w:w="3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ascii="宋体" w:hAnsi="宋体" w:cs="宋体"/>
                <w:color w:val="333333"/>
                <w:kern w:val="0"/>
                <w:sz w:val="20"/>
                <w:szCs w:val="20"/>
                <w:shd w:val="clear" w:color="auto" w:fill="FFFFFF"/>
                <w:lang w:bidi="ar"/>
              </w:rPr>
            </w:pPr>
            <w:r>
              <w:rPr>
                <w:rFonts w:hint="eastAsia" w:ascii="宋体" w:hAnsi="宋体" w:cs="宋体"/>
                <w:color w:val="333333"/>
                <w:kern w:val="0"/>
                <w:sz w:val="20"/>
                <w:szCs w:val="20"/>
                <w:lang w:bidi="ar"/>
              </w:rPr>
              <w:t>当事人</w:t>
            </w:r>
            <w:r>
              <w:rPr>
                <w:rFonts w:hint="eastAsia" w:ascii="宋体" w:hAnsi="宋体" w:cs="宋体"/>
                <w:color w:val="333333"/>
                <w:kern w:val="0"/>
                <w:sz w:val="20"/>
                <w:szCs w:val="20"/>
                <w:shd w:val="clear" w:color="auto" w:fill="FFFFFF"/>
                <w:lang w:bidi="ar"/>
              </w:rPr>
              <w:t>销售的种子应当包装而没有包装或销售的种子没有使用说明或者标签内容不符合规定，违法行为轻微且</w:t>
            </w:r>
            <w:r>
              <w:rPr>
                <w:rFonts w:hint="eastAsia" w:ascii="宋体" w:hAnsi="宋体" w:cs="宋体"/>
                <w:color w:val="333333"/>
                <w:kern w:val="0"/>
                <w:sz w:val="20"/>
                <w:szCs w:val="20"/>
                <w:lang w:bidi="ar"/>
              </w:rPr>
              <w:t>货值金额不足1000元的。</w:t>
            </w:r>
          </w:p>
        </w:tc>
        <w:tc>
          <w:tcPr>
            <w:tcW w:w="4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rPr>
            </w:pPr>
            <w:r>
              <w:rPr>
                <w:rFonts w:hint="eastAsia"/>
              </w:rPr>
              <w:t>《湖北省农业行政处罚自由裁量权指导基准应用规则》第十三条当事人具有下列行为或情形之一的，应当依法从轻或者减轻处罚：（一）违法行为人年满14周岁不满18周岁的；（二）主动消除或减轻违法行为危害后果的；（三）受他人胁迫实施违法行为的；（四）配合行政执法部门查处违法行为有立功变现的；（五）违法行为人属于残疾人且生活确有困难的；（六）其他轻微违法行为依法应从轻或减轻处罚的。</w:t>
            </w: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FFFFFF"/>
              <w:adjustRightInd w:val="0"/>
              <w:snapToGrid w:val="0"/>
              <w:spacing w:after="225" w:line="300" w:lineRule="exact"/>
              <w:jc w:val="left"/>
              <w:rPr>
                <w:rFonts w:hint="eastAsia" w:ascii="宋体" w:hAnsi="宋体" w:cs="宋体"/>
                <w:color w:val="333333"/>
                <w:kern w:val="0"/>
                <w:sz w:val="20"/>
                <w:szCs w:val="20"/>
                <w:shd w:val="clear" w:color="auto" w:fill="FFFFFF"/>
                <w:lang w:bidi="ar"/>
              </w:rPr>
            </w:pPr>
            <w:r>
              <w:rPr>
                <w:rFonts w:hint="eastAsia" w:ascii="宋体" w:hAnsi="宋体" w:cs="宋体"/>
                <w:color w:val="333333"/>
                <w:kern w:val="0"/>
                <w:sz w:val="20"/>
                <w:szCs w:val="20"/>
                <w:shd w:val="clear" w:color="auto" w:fill="FFFFFF"/>
                <w:lang w:bidi="ar"/>
              </w:rPr>
              <w:t>《中华人民共和国种子法》第八十条第（一）(二)项  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w:t>
            </w:r>
          </w:p>
        </w:tc>
      </w:tr>
    </w:tbl>
    <w:p>
      <w:pPr>
        <w:spacing w:line="440" w:lineRule="exact"/>
        <w:rPr>
          <w:rFonts w:hint="eastAsia" w:ascii="方正小标宋简体" w:hAnsi="黑体" w:eastAsia="方正小标宋简体" w:cs="宋体"/>
          <w:bCs/>
          <w:kern w:val="0"/>
          <w:sz w:val="36"/>
          <w:szCs w:val="36"/>
        </w:rPr>
      </w:pPr>
    </w:p>
    <w:p>
      <w:pPr>
        <w:spacing w:line="440" w:lineRule="exact"/>
        <w:jc w:val="center"/>
        <w:rPr>
          <w:rFonts w:hint="eastAsia" w:ascii="仿宋_GB2312" w:hAnsi="仿宋_GB2312" w:eastAsia="仿宋_GB2312" w:cs="仿宋_GB2312"/>
          <w:bCs/>
          <w:kern w:val="0"/>
          <w:sz w:val="36"/>
          <w:szCs w:val="36"/>
        </w:rPr>
      </w:pPr>
    </w:p>
    <w:p>
      <w:pPr>
        <w:spacing w:line="440" w:lineRule="exact"/>
        <w:jc w:val="center"/>
        <w:rPr>
          <w:rFonts w:hint="eastAsia" w:ascii="仿宋_GB2312" w:hAnsi="仿宋_GB2312" w:eastAsia="仿宋_GB2312" w:cs="仿宋_GB2312"/>
          <w:bCs/>
          <w:kern w:val="0"/>
          <w:sz w:val="36"/>
          <w:szCs w:val="36"/>
        </w:rPr>
      </w:pPr>
    </w:p>
    <w:p>
      <w:pPr>
        <w:spacing w:line="440" w:lineRule="exact"/>
        <w:jc w:val="center"/>
        <w:rPr>
          <w:rFonts w:hint="eastAsia" w:ascii="仿宋_GB2312" w:hAnsi="仿宋_GB2312" w:eastAsia="仿宋_GB2312" w:cs="仿宋_GB2312"/>
          <w:bCs/>
          <w:kern w:val="0"/>
          <w:sz w:val="36"/>
          <w:szCs w:val="36"/>
        </w:rPr>
      </w:pPr>
    </w:p>
    <w:p>
      <w:pPr>
        <w:spacing w:line="440" w:lineRule="exact"/>
        <w:jc w:val="center"/>
        <w:rPr>
          <w:rFonts w:hint="eastAsia" w:ascii="仿宋_GB2312" w:hAnsi="仿宋_GB2312" w:eastAsia="仿宋_GB2312" w:cs="仿宋_GB2312"/>
          <w:bCs/>
          <w:kern w:val="0"/>
          <w:sz w:val="36"/>
          <w:szCs w:val="36"/>
        </w:rPr>
      </w:pPr>
    </w:p>
    <w:p>
      <w:pPr>
        <w:spacing w:line="440" w:lineRule="exact"/>
        <w:jc w:val="center"/>
        <w:rPr>
          <w:rFonts w:hint="eastAsia" w:ascii="仿宋_GB2312" w:hAnsi="仿宋_GB2312" w:eastAsia="仿宋_GB2312" w:cs="仿宋_GB2312"/>
          <w:bCs/>
          <w:kern w:val="0"/>
          <w:sz w:val="36"/>
          <w:szCs w:val="36"/>
        </w:rPr>
      </w:pPr>
    </w:p>
    <w:p>
      <w:pPr>
        <w:spacing w:line="440" w:lineRule="exact"/>
        <w:jc w:val="center"/>
        <w:rPr>
          <w:rFonts w:hint="eastAsia" w:ascii="仿宋_GB2312" w:hAnsi="仿宋_GB2312" w:eastAsia="仿宋_GB2312" w:cs="仿宋_GB2312"/>
          <w:bCs/>
          <w:kern w:val="0"/>
          <w:sz w:val="36"/>
          <w:szCs w:val="36"/>
        </w:rPr>
      </w:pPr>
    </w:p>
    <w:p>
      <w:pPr>
        <w:spacing w:line="720" w:lineRule="exact"/>
        <w:jc w:val="center"/>
        <w:rPr>
          <w:rFonts w:hint="eastAsia" w:ascii="方正小标宋简体" w:hAnsi="仿宋_GB2312" w:eastAsia="方正小标宋简体" w:cs="仿宋_GB2312"/>
          <w:bCs/>
          <w:kern w:val="0"/>
          <w:sz w:val="44"/>
          <w:szCs w:val="44"/>
        </w:rPr>
      </w:pPr>
      <w:r>
        <w:rPr>
          <w:rFonts w:ascii="仿宋_GB2312" w:hAnsi="仿宋_GB2312" w:eastAsia="仿宋_GB2312" w:cs="仿宋_GB2312"/>
          <w:bCs/>
          <w:kern w:val="0"/>
          <w:sz w:val="36"/>
          <w:szCs w:val="36"/>
        </w:rPr>
        <w:br w:type="page"/>
      </w:r>
      <w:r>
        <w:rPr>
          <w:rFonts w:hint="eastAsia" w:ascii="方正小标宋简体" w:hAnsi="仿宋_GB2312" w:eastAsia="方正小标宋简体" w:cs="仿宋_GB2312"/>
          <w:bCs/>
          <w:kern w:val="0"/>
          <w:sz w:val="44"/>
          <w:szCs w:val="44"/>
        </w:rPr>
        <w:t>从轻处罚事项清单</w:t>
      </w:r>
    </w:p>
    <w:tbl>
      <w:tblPr>
        <w:tblStyle w:val="4"/>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1530"/>
        <w:gridCol w:w="3120"/>
        <w:gridCol w:w="3913"/>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 w:hRule="atLeast"/>
          <w:tblHeader/>
        </w:trPr>
        <w:tc>
          <w:tcPr>
            <w:tcW w:w="810" w:type="dxa"/>
            <w:tcBorders>
              <w:top w:val="single" w:color="auto" w:sz="4" w:space="0"/>
            </w:tcBorders>
            <w:noWrap w:val="0"/>
            <w:tcMar>
              <w:top w:w="15" w:type="dxa"/>
              <w:left w:w="15" w:type="dxa"/>
              <w:right w:w="15" w:type="dxa"/>
            </w:tcMar>
            <w:vAlign w:val="center"/>
          </w:tcPr>
          <w:p>
            <w:pPr>
              <w:widowControl/>
              <w:spacing w:line="3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序号</w:t>
            </w:r>
          </w:p>
        </w:tc>
        <w:tc>
          <w:tcPr>
            <w:tcW w:w="1530" w:type="dxa"/>
            <w:tcBorders>
              <w:top w:val="single" w:color="auto" w:sz="4" w:space="0"/>
            </w:tcBorders>
            <w:noWrap w:val="0"/>
            <w:tcMar>
              <w:top w:w="15" w:type="dxa"/>
              <w:left w:w="15" w:type="dxa"/>
              <w:right w:w="15" w:type="dxa"/>
            </w:tcMar>
            <w:vAlign w:val="center"/>
          </w:tcPr>
          <w:p>
            <w:pPr>
              <w:widowControl/>
              <w:spacing w:line="3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处罚事项</w:t>
            </w:r>
          </w:p>
        </w:tc>
        <w:tc>
          <w:tcPr>
            <w:tcW w:w="3120" w:type="dxa"/>
            <w:tcBorders>
              <w:top w:val="single" w:color="auto" w:sz="4" w:space="0"/>
            </w:tcBorders>
            <w:noWrap w:val="0"/>
            <w:tcMar>
              <w:top w:w="15" w:type="dxa"/>
              <w:left w:w="15" w:type="dxa"/>
              <w:right w:w="15" w:type="dxa"/>
            </w:tcMar>
            <w:vAlign w:val="center"/>
          </w:tcPr>
          <w:p>
            <w:pPr>
              <w:widowControl/>
              <w:spacing w:line="3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从轻处罚的情形</w:t>
            </w:r>
          </w:p>
        </w:tc>
        <w:tc>
          <w:tcPr>
            <w:tcW w:w="3913" w:type="dxa"/>
            <w:tcBorders>
              <w:top w:val="single" w:color="auto" w:sz="4" w:space="0"/>
            </w:tcBorders>
            <w:noWrap w:val="0"/>
            <w:tcMar>
              <w:top w:w="15" w:type="dxa"/>
              <w:left w:w="15" w:type="dxa"/>
              <w:right w:w="15" w:type="dxa"/>
            </w:tcMar>
            <w:vAlign w:val="center"/>
          </w:tcPr>
          <w:p>
            <w:pPr>
              <w:widowControl/>
              <w:spacing w:line="3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从轻处罚的依据</w:t>
            </w:r>
          </w:p>
        </w:tc>
        <w:tc>
          <w:tcPr>
            <w:tcW w:w="4541" w:type="dxa"/>
            <w:tcBorders>
              <w:top w:val="single" w:color="auto" w:sz="4" w:space="0"/>
            </w:tcBorders>
            <w:noWrap w:val="0"/>
            <w:tcMar>
              <w:top w:w="15" w:type="dxa"/>
              <w:left w:w="15" w:type="dxa"/>
              <w:right w:w="15" w:type="dxa"/>
            </w:tcMar>
            <w:vAlign w:val="center"/>
          </w:tcPr>
          <w:p>
            <w:pPr>
              <w:widowControl/>
              <w:spacing w:line="3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79" w:hRule="atLeast"/>
        </w:trPr>
        <w:tc>
          <w:tcPr>
            <w:tcW w:w="810" w:type="dxa"/>
            <w:noWrap w:val="0"/>
            <w:tcMar>
              <w:top w:w="15" w:type="dxa"/>
              <w:left w:w="15" w:type="dxa"/>
              <w:right w:w="15" w:type="dxa"/>
            </w:tcMar>
            <w:vAlign w:val="center"/>
          </w:tcPr>
          <w:p>
            <w:pPr>
              <w:widowControl/>
              <w:shd w:val="clear" w:color="auto" w:fill="FFFFFF"/>
              <w:spacing w:after="225" w:line="360" w:lineRule="atLeast"/>
              <w:jc w:val="center"/>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1</w:t>
            </w:r>
          </w:p>
        </w:tc>
        <w:tc>
          <w:tcPr>
            <w:tcW w:w="1530" w:type="dxa"/>
            <w:noWrap w:val="0"/>
            <w:tcMar>
              <w:top w:w="15" w:type="dxa"/>
              <w:left w:w="15" w:type="dxa"/>
              <w:right w:w="15" w:type="dxa"/>
            </w:tcMar>
            <w:vAlign w:val="center"/>
          </w:tcPr>
          <w:p>
            <w:pPr>
              <w:widowControl/>
              <w:shd w:val="clear" w:color="auto" w:fill="FFFFFF"/>
              <w:spacing w:after="225" w:line="360" w:lineRule="atLeast"/>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对变更机构名称或者法定代表人未办理变更手续等行为的动物诊疗机构的行政处罚</w:t>
            </w:r>
          </w:p>
        </w:tc>
        <w:tc>
          <w:tcPr>
            <w:tcW w:w="3120" w:type="dxa"/>
            <w:noWrap w:val="0"/>
            <w:tcMar>
              <w:top w:w="15" w:type="dxa"/>
              <w:left w:w="15" w:type="dxa"/>
              <w:right w:w="15" w:type="dxa"/>
            </w:tcMar>
            <w:vAlign w:val="center"/>
          </w:tcPr>
          <w:p>
            <w:pPr>
              <w:widowControl/>
              <w:shd w:val="clear" w:color="auto" w:fill="FFFFFF"/>
              <w:spacing w:after="225" w:line="360" w:lineRule="atLeast"/>
              <w:jc w:val="left"/>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动物诊疗机构有变更机构名称或者法定代表人，未办理变更手续等行为。（按《湖北省农业行政处罚自由裁量权指导基准应用规则》不同适用情形相对应的裁量标准最低额度处罚）</w:t>
            </w:r>
          </w:p>
        </w:tc>
        <w:tc>
          <w:tcPr>
            <w:tcW w:w="3913" w:type="dxa"/>
            <w:noWrap w:val="0"/>
            <w:tcMar>
              <w:top w:w="15" w:type="dxa"/>
              <w:left w:w="15" w:type="dxa"/>
              <w:right w:w="15" w:type="dxa"/>
            </w:tcMar>
            <w:vAlign w:val="center"/>
          </w:tcPr>
          <w:p>
            <w:pPr>
              <w:rPr>
                <w:rFonts w:hint="eastAsia"/>
                <w:color w:val="000000"/>
              </w:rPr>
            </w:pPr>
            <w:r>
              <w:rPr>
                <w:rFonts w:hint="eastAsia"/>
                <w:color w:val="000000"/>
              </w:rPr>
              <w:t>《湖北省农业行政处罚自由裁量权指导基准应用规则》第十三条当事人具有下列行为或情形之一的，应当依法从轻或者减轻处罚：（一）违法行为人年满14周岁不满18周岁的；（二）主动消除或减轻违法行为危害后果的；（三）受他人胁迫实施违法行为的；（四）配合行政执法部门查处违法行为有立功变现的；（五）违法行为人属于残疾人且生活确有困难的；（六）其他轻微违法行为依法应从轻或减轻处罚的。</w:t>
            </w:r>
          </w:p>
        </w:tc>
        <w:tc>
          <w:tcPr>
            <w:tcW w:w="4541" w:type="dxa"/>
            <w:noWrap w:val="0"/>
            <w:tcMar>
              <w:top w:w="15" w:type="dxa"/>
              <w:left w:w="15" w:type="dxa"/>
              <w:right w:w="15" w:type="dxa"/>
            </w:tcMar>
            <w:vAlign w:val="center"/>
          </w:tcPr>
          <w:p>
            <w:pPr>
              <w:widowControl/>
              <w:shd w:val="clear" w:color="auto" w:fill="FFFFFF"/>
              <w:spacing w:after="225" w:line="360" w:lineRule="atLeast"/>
              <w:jc w:val="left"/>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动物诊疗机构管理办法》第三十二条第（一）项：违反本办法规定，动物诊疗机构有下列情形之一的，由动物卫生监督机构给予警告，责令限期改正；拒不改正或者再次出现同类违法行为的，处以一千元以下罚款。（一）变更机构名称或者法定代表人未办理变更手续的。（二）未在诊疗场所悬挂动物诊疗许可证或者公示从业人员基本情况的；（三）不使用病历，或者应当开具处方未开具处方的；（四）使用不规范的病历、处方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05" w:hRule="atLeast"/>
        </w:trPr>
        <w:tc>
          <w:tcPr>
            <w:tcW w:w="810" w:type="dxa"/>
            <w:noWrap w:val="0"/>
            <w:tcMar>
              <w:top w:w="15" w:type="dxa"/>
              <w:left w:w="15" w:type="dxa"/>
              <w:right w:w="15" w:type="dxa"/>
            </w:tcMar>
            <w:vAlign w:val="center"/>
          </w:tcPr>
          <w:p>
            <w:pPr>
              <w:widowControl/>
              <w:shd w:val="clear" w:color="auto" w:fill="FFFFFF"/>
              <w:spacing w:after="225" w:line="360" w:lineRule="atLeast"/>
              <w:jc w:val="center"/>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2</w:t>
            </w:r>
          </w:p>
        </w:tc>
        <w:tc>
          <w:tcPr>
            <w:tcW w:w="1530" w:type="dxa"/>
            <w:noWrap w:val="0"/>
            <w:tcMar>
              <w:top w:w="15" w:type="dxa"/>
              <w:left w:w="15" w:type="dxa"/>
              <w:right w:w="15" w:type="dxa"/>
            </w:tcMar>
            <w:vAlign w:val="center"/>
          </w:tcPr>
          <w:p>
            <w:pPr>
              <w:widowControl/>
              <w:shd w:val="clear" w:color="auto" w:fill="FFFFFF"/>
              <w:spacing w:after="225" w:line="360" w:lineRule="atLeast"/>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对未取得动物诊疗许可证从事动物诊疗活动的行政处罚</w:t>
            </w:r>
          </w:p>
        </w:tc>
        <w:tc>
          <w:tcPr>
            <w:tcW w:w="3120" w:type="dxa"/>
            <w:noWrap w:val="0"/>
            <w:tcMar>
              <w:top w:w="15" w:type="dxa"/>
              <w:left w:w="15" w:type="dxa"/>
              <w:right w:w="15" w:type="dxa"/>
            </w:tcMar>
            <w:vAlign w:val="center"/>
          </w:tcPr>
          <w:p>
            <w:pPr>
              <w:widowControl/>
              <w:shd w:val="clear" w:color="auto" w:fill="FFFFFF"/>
              <w:spacing w:after="225" w:line="360" w:lineRule="atLeast"/>
              <w:jc w:val="left"/>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当事人没有违法所得，或违法所得不足一万元。（按《湖北省农业行政处罚自由裁量权指导基准应用规则》不同适用情形相对应的裁量标准最低额度处罚）</w:t>
            </w:r>
          </w:p>
        </w:tc>
        <w:tc>
          <w:tcPr>
            <w:tcW w:w="3913" w:type="dxa"/>
            <w:noWrap w:val="0"/>
            <w:tcMar>
              <w:top w:w="15" w:type="dxa"/>
              <w:left w:w="15" w:type="dxa"/>
              <w:right w:w="15" w:type="dxa"/>
            </w:tcMar>
            <w:vAlign w:val="center"/>
          </w:tcPr>
          <w:p>
            <w:pPr>
              <w:rPr>
                <w:rFonts w:hint="eastAsia"/>
                <w:color w:val="000000"/>
              </w:rPr>
            </w:pPr>
            <w:r>
              <w:rPr>
                <w:rFonts w:hint="eastAsia"/>
                <w:color w:val="000000"/>
              </w:rPr>
              <w:t>《湖北省农业行政处罚自由裁量权指导基准应用规则》第十三条当事人具有下列行为或情形之一的，应当依法从轻或者减轻处罚：（一）违法行为人年满14周岁不满18周岁的；（二）主动消除或减轻违法行为危害后果的；（三）受他人胁迫实施违法行为的；（四）配合行政执法部门查处违法行为有立功变现的；（五）违法行为人属于残疾人且生活确有困难的；（六）其他轻微违法行为依法应从轻或减轻处罚的。</w:t>
            </w:r>
          </w:p>
        </w:tc>
        <w:tc>
          <w:tcPr>
            <w:tcW w:w="4541" w:type="dxa"/>
            <w:noWrap w:val="0"/>
            <w:tcMar>
              <w:top w:w="15" w:type="dxa"/>
              <w:left w:w="15" w:type="dxa"/>
              <w:right w:w="15" w:type="dxa"/>
            </w:tcMar>
            <w:vAlign w:val="center"/>
          </w:tcPr>
          <w:p>
            <w:pPr>
              <w:widowControl/>
              <w:shd w:val="clear" w:color="auto" w:fill="FFFFFF"/>
              <w:spacing w:after="225" w:line="360" w:lineRule="atLeast"/>
              <w:jc w:val="left"/>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70" w:hRule="atLeast"/>
        </w:trPr>
        <w:tc>
          <w:tcPr>
            <w:tcW w:w="810" w:type="dxa"/>
            <w:noWrap w:val="0"/>
            <w:tcMar>
              <w:top w:w="15" w:type="dxa"/>
              <w:left w:w="15" w:type="dxa"/>
              <w:right w:w="15" w:type="dxa"/>
            </w:tcMar>
            <w:vAlign w:val="center"/>
          </w:tcPr>
          <w:p>
            <w:pPr>
              <w:widowControl/>
              <w:shd w:val="clear" w:color="auto" w:fill="FFFFFF"/>
              <w:spacing w:after="225" w:line="360" w:lineRule="atLeast"/>
              <w:jc w:val="center"/>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3</w:t>
            </w:r>
          </w:p>
        </w:tc>
        <w:tc>
          <w:tcPr>
            <w:tcW w:w="1530" w:type="dxa"/>
            <w:noWrap w:val="0"/>
            <w:tcMar>
              <w:top w:w="15" w:type="dxa"/>
              <w:left w:w="15" w:type="dxa"/>
              <w:right w:w="15" w:type="dxa"/>
            </w:tcMar>
            <w:vAlign w:val="center"/>
          </w:tcPr>
          <w:p>
            <w:pPr>
              <w:widowControl/>
              <w:shd w:val="clear" w:color="auto" w:fill="FFFFFF"/>
              <w:spacing w:after="225" w:line="360" w:lineRule="atLeast"/>
              <w:jc w:val="center"/>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对农药经营者向未取得农药生产许可证的农药生产企业或者未取得农药经营许可证的其他农药经营者采购农药的行政处罚</w:t>
            </w:r>
          </w:p>
        </w:tc>
        <w:tc>
          <w:tcPr>
            <w:tcW w:w="3120" w:type="dxa"/>
            <w:noWrap w:val="0"/>
            <w:tcMar>
              <w:top w:w="15" w:type="dxa"/>
              <w:left w:w="15" w:type="dxa"/>
              <w:right w:w="15" w:type="dxa"/>
            </w:tcMar>
            <w:vAlign w:val="center"/>
          </w:tcPr>
          <w:p>
            <w:pPr>
              <w:widowControl/>
              <w:shd w:val="clear" w:color="auto" w:fill="FFFFFF"/>
              <w:spacing w:after="225" w:line="360" w:lineRule="atLeast"/>
              <w:jc w:val="left"/>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当事人向未取得农药生产许可证的农药生产企业或者未取得农药经营许可证的其他农药经营者采购农药</w:t>
            </w:r>
            <w:r>
              <w:rPr>
                <w:rFonts w:ascii="宋体" w:hAnsi="宋体" w:cs="宋体"/>
                <w:color w:val="000000"/>
                <w:kern w:val="0"/>
                <w:sz w:val="20"/>
                <w:szCs w:val="20"/>
                <w:shd w:val="clear" w:color="auto" w:fill="FFFFFF"/>
                <w:lang w:val="en" w:bidi="ar"/>
              </w:rPr>
              <w:t>,</w:t>
            </w:r>
            <w:r>
              <w:rPr>
                <w:rFonts w:hint="eastAsia" w:ascii="宋体" w:hAnsi="宋体" w:cs="宋体"/>
                <w:color w:val="000000"/>
                <w:kern w:val="0"/>
                <w:sz w:val="20"/>
                <w:szCs w:val="20"/>
                <w:lang w:bidi="ar"/>
              </w:rPr>
              <w:t>初次违法且危害后果轻微并及时改正的。</w:t>
            </w:r>
            <w:r>
              <w:rPr>
                <w:rFonts w:hint="eastAsia" w:ascii="宋体" w:hAnsi="宋体" w:cs="宋体"/>
                <w:color w:val="000000"/>
                <w:kern w:val="0"/>
                <w:sz w:val="20"/>
                <w:szCs w:val="20"/>
                <w:shd w:val="clear" w:color="auto" w:fill="FFFFFF"/>
                <w:lang w:bidi="ar"/>
              </w:rPr>
              <w:t>（按《湖北省农业行政处罚自由裁量权指导基准应用规则》不同适用情形相对应的裁量标准最低额度处罚）</w:t>
            </w:r>
          </w:p>
        </w:tc>
        <w:tc>
          <w:tcPr>
            <w:tcW w:w="3913" w:type="dxa"/>
            <w:noWrap w:val="0"/>
            <w:tcMar>
              <w:top w:w="15" w:type="dxa"/>
              <w:left w:w="15" w:type="dxa"/>
              <w:right w:w="15" w:type="dxa"/>
            </w:tcMar>
            <w:vAlign w:val="center"/>
          </w:tcPr>
          <w:p>
            <w:pPr>
              <w:widowControl/>
              <w:shd w:val="clear" w:color="auto" w:fill="FFFFFF"/>
              <w:spacing w:after="225" w:line="360" w:lineRule="atLeast"/>
              <w:jc w:val="left"/>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lang w:bidi="ar"/>
              </w:rPr>
              <w:t>《湖北省农业行政处罚自由裁量权指导基准应用规则》</w:t>
            </w:r>
            <w:r>
              <w:rPr>
                <w:rFonts w:hint="eastAsia" w:ascii="宋体" w:hAnsi="宋体" w:cs="宋体"/>
                <w:color w:val="000000"/>
                <w:kern w:val="0"/>
                <w:sz w:val="20"/>
                <w:szCs w:val="20"/>
              </w:rPr>
              <w:t>第十三条</w:t>
            </w:r>
            <w:r>
              <w:rPr>
                <w:rFonts w:hint="eastAsia" w:ascii="宋体" w:hAnsi="宋体" w:cs="宋体"/>
                <w:color w:val="000000"/>
                <w:kern w:val="0"/>
                <w:sz w:val="20"/>
                <w:szCs w:val="20"/>
                <w:lang w:bidi="ar"/>
              </w:rPr>
              <w:t>当事人具有下列行为或情形之一的，应当依法从轻或者减轻处罚：</w:t>
            </w:r>
            <w:r>
              <w:rPr>
                <w:rFonts w:hint="eastAsia" w:ascii="宋体" w:hAnsi="宋体" w:cs="宋体"/>
                <w:color w:val="000000"/>
                <w:kern w:val="0"/>
                <w:sz w:val="20"/>
                <w:szCs w:val="20"/>
              </w:rPr>
              <w:t>（一）违法行为人年满14周岁不满18周岁的；（二）主动消除或减轻违法行为危害后果的；（三）受他人胁迫实施违法行为的；（四）配合行政执法部门查处违法行为有立功变现的；（五）违法行为人属于残疾人且生活确有困难的；（六）其他轻微违法行为依法应从轻或减轻处罚的。</w:t>
            </w:r>
          </w:p>
        </w:tc>
        <w:tc>
          <w:tcPr>
            <w:tcW w:w="4541" w:type="dxa"/>
            <w:noWrap w:val="0"/>
            <w:tcMar>
              <w:top w:w="15" w:type="dxa"/>
              <w:left w:w="15" w:type="dxa"/>
              <w:right w:w="15" w:type="dxa"/>
            </w:tcMar>
            <w:vAlign w:val="center"/>
          </w:tcPr>
          <w:p>
            <w:pPr>
              <w:widowControl/>
              <w:shd w:val="clear" w:color="auto" w:fill="FFFFFF"/>
              <w:spacing w:after="225" w:line="360" w:lineRule="atLeast"/>
              <w:jc w:val="left"/>
              <w:rPr>
                <w:rFonts w:hint="eastAsia" w:ascii="宋体" w:hAnsi="宋体" w:cs="宋体"/>
                <w:color w:val="000000"/>
                <w:kern w:val="0"/>
                <w:sz w:val="20"/>
                <w:szCs w:val="20"/>
                <w:shd w:val="clear" w:color="auto" w:fill="FFFFFF"/>
                <w:lang w:bidi="ar"/>
              </w:rPr>
            </w:pPr>
            <w:r>
              <w:rPr>
                <w:rFonts w:hint="eastAsia" w:ascii="宋体" w:hAnsi="宋体" w:cs="宋体"/>
                <w:color w:val="000000"/>
                <w:kern w:val="0"/>
                <w:sz w:val="20"/>
                <w:szCs w:val="20"/>
                <w:shd w:val="clear" w:color="auto" w:fill="FFFFFF"/>
                <w:lang w:bidi="ar"/>
              </w:rPr>
              <w:t>《农药管理条例》第五十七条第（二）项  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70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晴天＇＇</cp:lastModifiedBy>
  <dcterms:modified xsi:type="dcterms:W3CDTF">2021-05-06T08:26:32Z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68308D0E804B4D41A99E09E0455DCDC0</vt:lpwstr>
  </property>
</Properties>
</file>