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CF937">
      <w:pPr>
        <w:pStyle w:val="5"/>
        <w:keepNext w:val="0"/>
        <w:keepLines w:val="0"/>
        <w:pageBreakBefore w:val="0"/>
        <w:kinsoku/>
        <w:wordWrap/>
        <w:topLinePunct w:val="0"/>
        <w:bidi w:val="0"/>
        <w:spacing w:line="570" w:lineRule="exact"/>
        <w:ind w:left="0" w:leftChars="0" w:firstLine="0" w:firstLineChars="0"/>
        <w:textAlignment w:val="auto"/>
        <w:rPr>
          <w:rFonts w:hint="eastAsia" w:ascii="Times New Roman" w:hAnsi="Times New Roman" w:eastAsia="黑体" w:cs="黑体"/>
          <w:color w:val="auto"/>
          <w:kern w:val="0"/>
          <w:highlight w:val="none"/>
          <w:lang w:val="en-US" w:eastAsia="zh-CN" w:bidi="ar"/>
        </w:rPr>
      </w:pPr>
      <w:r>
        <w:rPr>
          <w:rFonts w:hint="eastAsia" w:ascii="Times New Roman" w:hAnsi="Times New Roman" w:eastAsia="黑体" w:cs="黑体"/>
          <w:color w:val="auto"/>
          <w:kern w:val="0"/>
          <w:highlight w:val="none"/>
          <w:lang w:val="en-US" w:eastAsia="zh-CN" w:bidi="ar"/>
        </w:rPr>
        <w:t>附件3</w:t>
      </w:r>
    </w:p>
    <w:p w14:paraId="71F9FE9F">
      <w:pPr>
        <w:keepNext w:val="0"/>
        <w:keepLines w:val="0"/>
        <w:pageBreakBefore w:val="0"/>
        <w:widowControl w:val="0"/>
        <w:kinsoku/>
        <w:wordWrap/>
        <w:overflowPunct/>
        <w:topLinePunct w:val="0"/>
        <w:autoSpaceDE/>
        <w:autoSpaceDN/>
        <w:bidi w:val="0"/>
        <w:adjustRightInd w:val="0"/>
        <w:snapToGrid w:val="0"/>
        <w:spacing w:line="720" w:lineRule="exact"/>
        <w:jc w:val="center"/>
        <w:textAlignment w:val="auto"/>
        <w:rPr>
          <w:rFonts w:hint="eastAsia" w:ascii="Times New Roman" w:hAnsi="Times New Roman" w:eastAsia="方正小标宋简体" w:cs="方正小标宋简体"/>
          <w:spacing w:val="0"/>
          <w:sz w:val="44"/>
          <w:szCs w:val="44"/>
          <w:lang w:eastAsia="zh-CN"/>
        </w:rPr>
      </w:pPr>
      <w:r>
        <w:rPr>
          <w:rFonts w:hint="eastAsia" w:ascii="Times New Roman" w:hAnsi="Times New Roman" w:eastAsia="方正小标宋简体" w:cs="方正小标宋简体"/>
          <w:spacing w:val="0"/>
          <w:sz w:val="44"/>
          <w:szCs w:val="44"/>
          <w:lang w:val="en-US" w:eastAsia="zh-CN"/>
        </w:rPr>
        <w:t>2025年武汉市</w:t>
      </w:r>
      <w:r>
        <w:rPr>
          <w:rFonts w:hint="eastAsia" w:ascii="Times New Roman" w:hAnsi="Times New Roman" w:eastAsia="方正小标宋简体" w:cs="方正小标宋简体"/>
          <w:spacing w:val="0"/>
          <w:sz w:val="44"/>
          <w:szCs w:val="44"/>
        </w:rPr>
        <w:t>特色畜</w:t>
      </w:r>
      <w:r>
        <w:rPr>
          <w:rFonts w:hint="eastAsia" w:ascii="Times New Roman" w:hAnsi="Times New Roman" w:eastAsia="方正小标宋简体" w:cs="方正小标宋简体"/>
          <w:spacing w:val="0"/>
          <w:sz w:val="44"/>
          <w:szCs w:val="44"/>
          <w:lang w:eastAsia="zh-CN"/>
        </w:rPr>
        <w:t>禽</w:t>
      </w:r>
      <w:r>
        <w:rPr>
          <w:rFonts w:hint="eastAsia" w:ascii="Times New Roman" w:hAnsi="Times New Roman" w:eastAsia="方正小标宋简体" w:cs="方正小标宋简体"/>
          <w:spacing w:val="0"/>
          <w:sz w:val="44"/>
          <w:szCs w:val="44"/>
        </w:rPr>
        <w:t>产业链</w:t>
      </w:r>
      <w:r>
        <w:rPr>
          <w:rFonts w:hint="eastAsia" w:ascii="Times New Roman" w:hAnsi="Times New Roman" w:eastAsia="方正小标宋简体" w:cs="方正小标宋简体"/>
          <w:spacing w:val="0"/>
          <w:sz w:val="44"/>
          <w:szCs w:val="44"/>
          <w:lang w:eastAsia="zh-CN"/>
        </w:rPr>
        <w:t>项目</w:t>
      </w:r>
    </w:p>
    <w:p w14:paraId="692BAF61">
      <w:pPr>
        <w:keepNext w:val="0"/>
        <w:keepLines w:val="0"/>
        <w:pageBreakBefore w:val="0"/>
        <w:widowControl w:val="0"/>
        <w:kinsoku/>
        <w:wordWrap/>
        <w:overflowPunct/>
        <w:topLinePunct w:val="0"/>
        <w:autoSpaceDE/>
        <w:autoSpaceDN/>
        <w:bidi w:val="0"/>
        <w:adjustRightInd w:val="0"/>
        <w:snapToGrid w:val="0"/>
        <w:spacing w:line="720" w:lineRule="exact"/>
        <w:jc w:val="center"/>
        <w:textAlignment w:val="auto"/>
        <w:rPr>
          <w:rFonts w:hint="eastAsia" w:ascii="Times New Roman" w:hAnsi="Times New Roman" w:eastAsia="方正小标宋简体" w:cs="方正小标宋简体"/>
          <w:spacing w:val="-17"/>
          <w:sz w:val="44"/>
          <w:szCs w:val="44"/>
        </w:rPr>
      </w:pPr>
      <w:r>
        <w:rPr>
          <w:rFonts w:hint="eastAsia" w:ascii="Times New Roman" w:hAnsi="Times New Roman" w:eastAsia="方正小标宋简体" w:cs="方正小标宋简体"/>
          <w:spacing w:val="0"/>
          <w:sz w:val="44"/>
          <w:szCs w:val="44"/>
          <w:lang w:eastAsia="zh-CN"/>
        </w:rPr>
        <w:t>实施</w:t>
      </w:r>
      <w:r>
        <w:rPr>
          <w:rFonts w:hint="eastAsia" w:ascii="Times New Roman" w:hAnsi="Times New Roman" w:eastAsia="方正小标宋简体" w:cs="方正小标宋简体"/>
          <w:spacing w:val="0"/>
          <w:sz w:val="44"/>
          <w:szCs w:val="44"/>
        </w:rPr>
        <w:t>方案</w:t>
      </w:r>
    </w:p>
    <w:p w14:paraId="3CBF0C21">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eastAsia" w:ascii="Times New Roman" w:hAnsi="Times New Roman" w:eastAsia="仿宋_GB2312"/>
          <w:color w:val="000000"/>
          <w:kern w:val="0"/>
          <w:sz w:val="32"/>
          <w:szCs w:val="32"/>
        </w:rPr>
      </w:pPr>
    </w:p>
    <w:p w14:paraId="564888DD">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为</w:t>
      </w:r>
      <w:r>
        <w:rPr>
          <w:rFonts w:hint="eastAsia" w:ascii="Times New Roman" w:hAnsi="Times New Roman" w:eastAsia="仿宋_GB2312"/>
          <w:color w:val="000000"/>
          <w:kern w:val="0"/>
          <w:sz w:val="32"/>
          <w:szCs w:val="32"/>
          <w:lang w:eastAsia="zh-CN"/>
        </w:rPr>
        <w:t>加快推进我市畜禽产业链建设，根据</w:t>
      </w:r>
      <w:r>
        <w:rPr>
          <w:rFonts w:hint="eastAsia" w:ascii="Times New Roman" w:hAnsi="Times New Roman" w:eastAsia="仿宋_GB2312"/>
          <w:color w:val="000000"/>
          <w:kern w:val="0"/>
          <w:sz w:val="32"/>
          <w:szCs w:val="32"/>
        </w:rPr>
        <w:t>《市农业农村局 市财政局关于印发2022-2025年期间支持农业农村发展有关政策意见的通知》（武农〔2022〕2号）文件精神，结合畜牧产业</w:t>
      </w:r>
      <w:r>
        <w:rPr>
          <w:rFonts w:hint="eastAsia" w:ascii="Times New Roman" w:hAnsi="Times New Roman" w:eastAsia="仿宋_GB2312"/>
          <w:color w:val="000000"/>
          <w:kern w:val="0"/>
          <w:sz w:val="32"/>
          <w:szCs w:val="32"/>
          <w:lang w:eastAsia="zh-CN"/>
        </w:rPr>
        <w:t>绿色高质量</w:t>
      </w:r>
      <w:r>
        <w:rPr>
          <w:rFonts w:hint="eastAsia" w:ascii="Times New Roman" w:hAnsi="Times New Roman" w:eastAsia="仿宋_GB2312"/>
          <w:color w:val="000000"/>
          <w:kern w:val="0"/>
          <w:sz w:val="32"/>
          <w:szCs w:val="32"/>
        </w:rPr>
        <w:t>发展需要，制定</w:t>
      </w:r>
      <w:r>
        <w:rPr>
          <w:rFonts w:hint="eastAsia" w:ascii="Times New Roman" w:hAnsi="Times New Roman" w:eastAsia="仿宋_GB2312"/>
          <w:color w:val="000000"/>
          <w:kern w:val="0"/>
          <w:sz w:val="32"/>
          <w:szCs w:val="32"/>
          <w:lang w:eastAsia="zh-CN"/>
        </w:rPr>
        <w:t>本</w:t>
      </w:r>
      <w:r>
        <w:rPr>
          <w:rFonts w:hint="eastAsia" w:ascii="Times New Roman" w:hAnsi="Times New Roman" w:eastAsia="仿宋_GB2312"/>
          <w:color w:val="000000"/>
          <w:kern w:val="0"/>
          <w:sz w:val="32"/>
          <w:szCs w:val="32"/>
        </w:rPr>
        <w:t xml:space="preserve">方案。 </w:t>
      </w:r>
    </w:p>
    <w:p w14:paraId="36DC4EE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一、工作目标</w:t>
      </w:r>
    </w:p>
    <w:p w14:paraId="1FB434A8">
      <w:pPr>
        <w:pStyle w:val="2"/>
        <w:keepNext w:val="0"/>
        <w:keepLines w:val="0"/>
        <w:pageBreakBefore w:val="0"/>
        <w:widowControl w:val="0"/>
        <w:kinsoku/>
        <w:wordWrap/>
        <w:overflowPunct/>
        <w:topLinePunct w:val="0"/>
        <w:autoSpaceDE/>
        <w:autoSpaceDN/>
        <w:bidi w:val="0"/>
        <w:adjustRightInd w:val="0"/>
        <w:snapToGrid w:val="0"/>
        <w:spacing w:before="0" w:after="0" w:line="570" w:lineRule="exact"/>
        <w:ind w:left="0" w:leftChars="0" w:firstLine="640" w:firstLineChars="200"/>
        <w:textAlignment w:val="auto"/>
        <w:rPr>
          <w:rFonts w:hint="eastAsia" w:ascii="Times New Roman" w:hAnsi="Times New Roman" w:eastAsia="仿宋_GB2312" w:cs="Times New Roman"/>
          <w:b w:val="0"/>
          <w:color w:val="000000"/>
          <w:kern w:val="0"/>
          <w:sz w:val="32"/>
          <w:szCs w:val="32"/>
          <w:lang w:val="en-US" w:eastAsia="zh-CN" w:bidi="ar-SA"/>
        </w:rPr>
      </w:pPr>
      <w:r>
        <w:rPr>
          <w:rFonts w:hint="eastAsia" w:ascii="Times New Roman" w:hAnsi="Times New Roman" w:eastAsia="仿宋_GB2312" w:cs="Times New Roman"/>
          <w:b w:val="0"/>
          <w:color w:val="000000"/>
          <w:kern w:val="0"/>
          <w:sz w:val="32"/>
          <w:szCs w:val="32"/>
          <w:lang w:val="en-US" w:eastAsia="zh-CN" w:bidi="ar-SA"/>
        </w:rPr>
        <w:t>充分发挥超大城市综合优势，强化政策引导，聚焦生猪、蛋鸡等畜牧业重点支持方向，坚持优势特色畜禽产业链发展。通过生猪养殖、蛋鸡养殖、畜禽屠宰等系列重点项目建设，为奋力谱写中国式现代化武汉篇章贡献畜牧力量。</w:t>
      </w:r>
    </w:p>
    <w:p w14:paraId="51F16AA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二、重点支持领域</w:t>
      </w:r>
    </w:p>
    <w:p w14:paraId="7AD1EFD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仿宋_GB2312" w:cs="Times New Roman"/>
          <w:b w:val="0"/>
          <w:color w:val="000000"/>
          <w:kern w:val="0"/>
          <w:sz w:val="32"/>
          <w:szCs w:val="32"/>
          <w:lang w:val="en-US" w:eastAsia="zh-CN" w:bidi="ar-SA"/>
        </w:rPr>
      </w:pPr>
      <w:r>
        <w:rPr>
          <w:rFonts w:hint="eastAsia" w:ascii="Times New Roman" w:hAnsi="Times New Roman" w:eastAsia="仿宋_GB2312"/>
          <w:kern w:val="0"/>
          <w:sz w:val="32"/>
          <w:szCs w:val="32"/>
          <w:lang w:eastAsia="zh-CN"/>
        </w:rPr>
        <w:t>重点发展生猪和蛋鸡产业链，</w:t>
      </w:r>
      <w:r>
        <w:rPr>
          <w:rFonts w:hint="eastAsia" w:ascii="Times New Roman" w:hAnsi="Times New Roman" w:eastAsia="仿宋_GB2312" w:cs="Times New Roman"/>
          <w:b w:val="0"/>
          <w:color w:val="000000"/>
          <w:kern w:val="0"/>
          <w:sz w:val="32"/>
          <w:szCs w:val="32"/>
          <w:lang w:val="en-US" w:eastAsia="zh-CN" w:bidi="ar-SA"/>
        </w:rPr>
        <w:t>在畜禽养殖屠宰、加工及品牌打造等方面持续发力，做足做活“畜头肉尾”、“农头工尾”文章，构建多元化食物供给体系，促进畜牧业绿色高质量发展。</w:t>
      </w:r>
    </w:p>
    <w:p w14:paraId="513BE74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楷体_GB2312" w:cs="楷体_GB2312"/>
          <w:kern w:val="0"/>
          <w:sz w:val="32"/>
          <w:szCs w:val="32"/>
          <w:lang w:val="en-US" w:eastAsia="zh-CN"/>
        </w:rPr>
      </w:pPr>
      <w:r>
        <w:rPr>
          <w:rFonts w:hint="eastAsia" w:ascii="Times New Roman" w:hAnsi="Times New Roman" w:eastAsia="楷体_GB2312" w:cs="楷体_GB2312"/>
          <w:kern w:val="0"/>
          <w:sz w:val="32"/>
          <w:szCs w:val="32"/>
          <w:lang w:val="en-US" w:eastAsia="zh-CN"/>
        </w:rPr>
        <w:t>（一）绿色生猪养殖</w:t>
      </w:r>
    </w:p>
    <w:p w14:paraId="2358B14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建设目标：新建1个年出栏5万头生猪规模养殖场，合作共建1个年出栏5万头生猪规模养殖场。打造猪舍建设标准化、养殖设施自动化、生产管理智能化、生态环境景观化、养殖粪污资源化为一体的现代化生猪养殖样板。</w:t>
      </w:r>
    </w:p>
    <w:p w14:paraId="0C2C357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奖补标准：对在全市辖区内规划新建的年出栏50000头以上规模的生猪养殖场，按照年设计出栏量，每10000头由市级财政给予一次性奖补300万元；对在我市周边300公里范围以内合作共建、协议供汉的年出栏50000头以上规模的生猪养殖场，按照年设计出栏量，每10000头由市级财政给予一次性奖补100万元；在我市辖区内创建种养循环生态示范园，按照种植基地面积，每1000亩由市级财政给予一次性奖补150万元。</w:t>
      </w:r>
    </w:p>
    <w:p w14:paraId="2F42C20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建设标准：按照《武汉市农业农村局关于执行生猪产业绿色发展项目建设验收标准（第二版）的通知》）执行。</w:t>
      </w:r>
    </w:p>
    <w:p w14:paraId="39A149D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申报条件及项目管理程序</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kern w:val="0"/>
          <w:sz w:val="32"/>
          <w:szCs w:val="32"/>
          <w:lang w:val="en-US" w:eastAsia="zh-CN" w:bidi="ar-SA"/>
        </w:rPr>
        <w:t>按照</w:t>
      </w:r>
      <w:r>
        <w:rPr>
          <w:rFonts w:hint="eastAsia" w:ascii="Times New Roman" w:hAnsi="Times New Roman" w:eastAsia="仿宋_GB2312" w:cs="仿宋_GB2312"/>
          <w:kern w:val="0"/>
          <w:sz w:val="32"/>
          <w:szCs w:val="32"/>
          <w:lang w:val="en-US" w:eastAsia="zh-CN"/>
        </w:rPr>
        <w:t>《市农业农村局关于印发武汉市畜牧兽医产业发展项目操作指南的通知》（武农﹝2023﹞14号）</w:t>
      </w:r>
      <w:r>
        <w:rPr>
          <w:rFonts w:hint="eastAsia" w:ascii="Times New Roman" w:hAnsi="Times New Roman" w:eastAsia="仿宋_GB2312" w:cs="仿宋_GB2312"/>
          <w:kern w:val="0"/>
          <w:sz w:val="32"/>
          <w:szCs w:val="32"/>
          <w:lang w:val="en-US" w:eastAsia="zh-CN" w:bidi="ar-SA"/>
        </w:rPr>
        <w:t>执行。</w:t>
      </w:r>
    </w:p>
    <w:p w14:paraId="1D4B8C1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项目后评价：参照《中央预算内投资项目监督管理办法》对市级投资奖补类项目开展全生命周期管理。各区在项目建成并投入使用一定时间后组织开展项目后评价，比对市级财政审批的绩效目标提出评估评价意见和对策建议，促进预算内投资更好发挥综合效益。</w:t>
      </w:r>
    </w:p>
    <w:p w14:paraId="189E16A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楷体_GB2312" w:cs="楷体_GB2312"/>
          <w:kern w:val="0"/>
          <w:sz w:val="32"/>
          <w:szCs w:val="32"/>
          <w:lang w:val="en-US" w:eastAsia="zh-CN"/>
        </w:rPr>
      </w:pPr>
      <w:r>
        <w:rPr>
          <w:rFonts w:hint="eastAsia" w:ascii="Times New Roman" w:hAnsi="Times New Roman" w:eastAsia="楷体_GB2312" w:cs="楷体_GB2312"/>
          <w:kern w:val="0"/>
          <w:sz w:val="32"/>
          <w:szCs w:val="32"/>
          <w:lang w:val="en-US" w:eastAsia="zh-CN"/>
        </w:rPr>
        <w:t>（二）蛋鸡养殖场</w:t>
      </w:r>
    </w:p>
    <w:p w14:paraId="43986A05">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仿宋_GB2312" w:cs="仿宋_GB2312"/>
          <w:b w:val="0"/>
          <w:kern w:val="0"/>
          <w:sz w:val="32"/>
          <w:szCs w:val="32"/>
          <w:lang w:val="en-US" w:eastAsia="zh-CN" w:bidi="ar-SA"/>
        </w:rPr>
      </w:pPr>
      <w:r>
        <w:rPr>
          <w:rFonts w:hint="eastAsia" w:ascii="Times New Roman" w:hAnsi="Times New Roman" w:eastAsia="仿宋_GB2312" w:cs="仿宋_GB2312"/>
          <w:b w:val="0"/>
          <w:kern w:val="0"/>
          <w:sz w:val="32"/>
          <w:szCs w:val="32"/>
          <w:lang w:val="en-US" w:eastAsia="zh-CN" w:bidi="ar-SA"/>
        </w:rPr>
        <w:t>建设目标</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b w:val="0"/>
          <w:kern w:val="0"/>
          <w:sz w:val="32"/>
          <w:szCs w:val="32"/>
          <w:lang w:val="en-US" w:eastAsia="zh-CN" w:bidi="ar-SA"/>
        </w:rPr>
        <w:t>建设1个年存笼150万只规模蛋鸡养殖场。</w:t>
      </w:r>
    </w:p>
    <w:p w14:paraId="4E8735CF">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仿宋_GB2312" w:cs="仿宋_GB2312"/>
          <w:b w:val="0"/>
          <w:kern w:val="0"/>
          <w:sz w:val="32"/>
          <w:szCs w:val="32"/>
          <w:lang w:val="en-US" w:eastAsia="zh-CN" w:bidi="ar-SA"/>
        </w:rPr>
      </w:pPr>
      <w:r>
        <w:rPr>
          <w:rFonts w:hint="eastAsia" w:ascii="Times New Roman" w:hAnsi="Times New Roman" w:eastAsia="仿宋_GB2312" w:cs="仿宋_GB2312"/>
          <w:b w:val="0"/>
          <w:kern w:val="0"/>
          <w:sz w:val="32"/>
          <w:szCs w:val="32"/>
          <w:lang w:val="en-US" w:eastAsia="zh-CN" w:bidi="ar-SA"/>
        </w:rPr>
        <w:t>奖补标准</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b w:val="0"/>
          <w:kern w:val="0"/>
          <w:sz w:val="32"/>
          <w:szCs w:val="32"/>
          <w:lang w:val="en-US" w:eastAsia="zh-CN" w:bidi="ar-SA"/>
        </w:rPr>
        <w:t>对蛋鸡养殖场按每10万只200万元给予奖补。</w:t>
      </w:r>
    </w:p>
    <w:p w14:paraId="77C244A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rPr>
        <w:t>建设标准、</w:t>
      </w:r>
      <w:r>
        <w:rPr>
          <w:rFonts w:hint="eastAsia" w:ascii="Times New Roman" w:hAnsi="Times New Roman" w:eastAsia="仿宋_GB2312" w:cs="仿宋_GB2312"/>
          <w:kern w:val="0"/>
          <w:sz w:val="32"/>
          <w:szCs w:val="32"/>
          <w:lang w:val="en-US" w:eastAsia="zh-CN" w:bidi="ar-SA"/>
        </w:rPr>
        <w:t>申报条件及项目管理程序</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kern w:val="0"/>
          <w:sz w:val="32"/>
          <w:szCs w:val="32"/>
          <w:lang w:val="en-US" w:eastAsia="zh-CN" w:bidi="ar-SA"/>
        </w:rPr>
        <w:t>按照</w:t>
      </w:r>
      <w:r>
        <w:rPr>
          <w:rFonts w:hint="eastAsia" w:ascii="Times New Roman" w:hAnsi="Times New Roman" w:eastAsia="仿宋_GB2312" w:cs="仿宋_GB2312"/>
          <w:kern w:val="0"/>
          <w:sz w:val="32"/>
          <w:szCs w:val="32"/>
          <w:lang w:val="en-US" w:eastAsia="zh-CN"/>
        </w:rPr>
        <w:t>《市农业农村局关于印发武汉市畜牧兽医产业发展项目操作指南的通知》（武农﹝2023﹞14号）</w:t>
      </w:r>
      <w:r>
        <w:rPr>
          <w:rFonts w:hint="eastAsia" w:ascii="Times New Roman" w:hAnsi="Times New Roman" w:eastAsia="仿宋_GB2312" w:cs="仿宋_GB2312"/>
          <w:kern w:val="0"/>
          <w:sz w:val="32"/>
          <w:szCs w:val="32"/>
          <w:lang w:val="en-US" w:eastAsia="zh-CN" w:bidi="ar-SA"/>
        </w:rPr>
        <w:t>执行。</w:t>
      </w:r>
    </w:p>
    <w:p w14:paraId="1D28616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项目后评价：</w:t>
      </w:r>
      <w:r>
        <w:rPr>
          <w:rFonts w:hint="eastAsia" w:ascii="Times New Roman" w:hAnsi="Times New Roman" w:eastAsia="仿宋_GB2312" w:cs="仿宋_GB2312"/>
          <w:sz w:val="32"/>
          <w:szCs w:val="32"/>
        </w:rPr>
        <w:t>参照《中央预算内投资项目监督管理办法》</w:t>
      </w:r>
      <w:r>
        <w:rPr>
          <w:rFonts w:hint="eastAsia" w:ascii="Times New Roman" w:hAnsi="Times New Roman" w:eastAsia="仿宋_GB2312" w:cs="仿宋_GB2312"/>
          <w:sz w:val="32"/>
          <w:szCs w:val="32"/>
          <w:lang w:eastAsia="zh-CN"/>
        </w:rPr>
        <w:t>对</w:t>
      </w:r>
      <w:r>
        <w:rPr>
          <w:rFonts w:hint="eastAsia" w:ascii="Times New Roman" w:hAnsi="Times New Roman" w:eastAsia="仿宋_GB2312" w:cs="仿宋_GB2312"/>
          <w:sz w:val="32"/>
          <w:szCs w:val="32"/>
        </w:rPr>
        <w:t>市级投资奖补</w:t>
      </w:r>
      <w:r>
        <w:rPr>
          <w:rFonts w:hint="eastAsia" w:ascii="Times New Roman" w:hAnsi="Times New Roman" w:eastAsia="仿宋_GB2312" w:cs="仿宋_GB2312"/>
          <w:sz w:val="32"/>
          <w:szCs w:val="32"/>
          <w:lang w:eastAsia="zh-CN"/>
        </w:rPr>
        <w:t>类</w:t>
      </w:r>
      <w:r>
        <w:rPr>
          <w:rFonts w:hint="eastAsia" w:ascii="Times New Roman" w:hAnsi="Times New Roman" w:eastAsia="仿宋_GB2312" w:cs="仿宋_GB2312"/>
          <w:sz w:val="32"/>
          <w:szCs w:val="32"/>
        </w:rPr>
        <w:t>项目</w:t>
      </w:r>
      <w:r>
        <w:rPr>
          <w:rFonts w:hint="eastAsia" w:ascii="Times New Roman" w:hAnsi="Times New Roman" w:eastAsia="仿宋_GB2312" w:cs="仿宋_GB2312"/>
          <w:sz w:val="32"/>
          <w:szCs w:val="32"/>
          <w:lang w:eastAsia="zh-CN"/>
        </w:rPr>
        <w:t>开展</w:t>
      </w:r>
      <w:r>
        <w:rPr>
          <w:rFonts w:hint="eastAsia" w:ascii="Times New Roman" w:hAnsi="Times New Roman" w:eastAsia="仿宋_GB2312" w:cs="仿宋_GB2312"/>
          <w:sz w:val="32"/>
          <w:szCs w:val="32"/>
        </w:rPr>
        <w:t>全生命周期管理</w:t>
      </w:r>
      <w:r>
        <w:rPr>
          <w:rFonts w:hint="eastAsia" w:ascii="Times New Roman" w:hAnsi="Times New Roman" w:eastAsia="仿宋_GB2312" w:cs="仿宋_GB2312"/>
          <w:sz w:val="32"/>
          <w:szCs w:val="32"/>
          <w:lang w:eastAsia="zh-CN"/>
        </w:rPr>
        <w:t>。各区</w:t>
      </w:r>
      <w:r>
        <w:rPr>
          <w:rFonts w:hint="eastAsia" w:ascii="Times New Roman" w:hAnsi="Times New Roman" w:eastAsia="仿宋_GB2312" w:cs="仿宋_GB2312"/>
          <w:sz w:val="32"/>
          <w:szCs w:val="32"/>
        </w:rPr>
        <w:t>在项目建成并投入使用一定时间后组织开展项目后评价，</w:t>
      </w:r>
      <w:r>
        <w:rPr>
          <w:rFonts w:hint="eastAsia" w:ascii="Times New Roman" w:hAnsi="Times New Roman" w:eastAsia="仿宋_GB2312" w:cs="仿宋_GB2312"/>
          <w:sz w:val="32"/>
          <w:szCs w:val="32"/>
          <w:lang w:eastAsia="zh-CN"/>
        </w:rPr>
        <w:t>比对市级财政</w:t>
      </w:r>
      <w:r>
        <w:rPr>
          <w:rFonts w:hint="eastAsia" w:ascii="Times New Roman" w:hAnsi="Times New Roman" w:eastAsia="仿宋_GB2312" w:cs="仿宋_GB2312"/>
          <w:sz w:val="32"/>
          <w:szCs w:val="32"/>
        </w:rPr>
        <w:t>审批的</w:t>
      </w:r>
      <w:r>
        <w:rPr>
          <w:rFonts w:hint="eastAsia" w:ascii="Times New Roman" w:hAnsi="Times New Roman" w:eastAsia="仿宋_GB2312" w:cs="仿宋_GB2312"/>
          <w:sz w:val="32"/>
          <w:szCs w:val="32"/>
          <w:lang w:eastAsia="zh-CN"/>
        </w:rPr>
        <w:t>绩效目标</w:t>
      </w:r>
      <w:r>
        <w:rPr>
          <w:rFonts w:hint="eastAsia" w:ascii="Times New Roman" w:hAnsi="Times New Roman" w:eastAsia="仿宋_GB2312" w:cs="仿宋_GB2312"/>
          <w:sz w:val="32"/>
          <w:szCs w:val="32"/>
        </w:rPr>
        <w:t>提出评估评价意见和对策建议，促进预算内投资更好发挥综合效益。</w:t>
      </w:r>
    </w:p>
    <w:p w14:paraId="3754A3E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楷体_GB2312" w:cs="楷体_GB2312"/>
          <w:b w:val="0"/>
          <w:kern w:val="0"/>
          <w:sz w:val="32"/>
          <w:szCs w:val="32"/>
          <w:lang w:val="en-US" w:eastAsia="zh-CN" w:bidi="ar-SA"/>
        </w:rPr>
      </w:pPr>
      <w:r>
        <w:rPr>
          <w:rFonts w:hint="eastAsia" w:ascii="Times New Roman" w:hAnsi="Times New Roman" w:eastAsia="楷体_GB2312" w:cs="楷体_GB2312"/>
          <w:b w:val="0"/>
          <w:kern w:val="0"/>
          <w:sz w:val="32"/>
          <w:szCs w:val="32"/>
          <w:lang w:val="en-US" w:eastAsia="zh-CN" w:bidi="ar-SA"/>
        </w:rPr>
        <w:t>（三）畜禽屠宰行业转型升级</w:t>
      </w:r>
    </w:p>
    <w:p w14:paraId="425E0463">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仿宋_GB2312" w:cs="仿宋_GB2312"/>
          <w:b w:val="0"/>
          <w:kern w:val="0"/>
          <w:sz w:val="32"/>
          <w:szCs w:val="32"/>
          <w:u w:val="none"/>
          <w:lang w:val="en-US" w:eastAsia="zh-CN" w:bidi="ar-SA"/>
        </w:rPr>
      </w:pPr>
      <w:r>
        <w:rPr>
          <w:rFonts w:hint="eastAsia" w:ascii="Times New Roman" w:hAnsi="Times New Roman" w:eastAsia="仿宋_GB2312" w:cs="仿宋_GB2312"/>
          <w:b w:val="0"/>
          <w:kern w:val="0"/>
          <w:sz w:val="32"/>
          <w:szCs w:val="32"/>
          <w:u w:val="none"/>
          <w:lang w:val="en-US" w:eastAsia="zh-CN" w:bidi="ar-SA"/>
        </w:rPr>
        <w:t>建设目标</w:t>
      </w:r>
      <w:r>
        <w:rPr>
          <w:rFonts w:hint="eastAsia" w:ascii="Times New Roman" w:hAnsi="Times New Roman" w:eastAsia="仿宋_GB2312" w:cs="仿宋_GB2312"/>
          <w:kern w:val="0"/>
          <w:sz w:val="32"/>
          <w:szCs w:val="32"/>
          <w:lang w:val="en-US" w:eastAsia="zh-CN"/>
        </w:rPr>
        <w:t>：落实农业农村部《生猪定点屠宰厂（场）设置审查规定》，持续推进生猪屠宰企业清理整治，推动行业转型升级和结构优化。</w:t>
      </w:r>
      <w:r>
        <w:rPr>
          <w:rFonts w:hint="eastAsia" w:ascii="Times New Roman" w:hAnsi="Times New Roman" w:eastAsia="仿宋_GB2312" w:cs="仿宋_GB2312"/>
          <w:b w:val="0"/>
          <w:kern w:val="0"/>
          <w:sz w:val="32"/>
          <w:szCs w:val="32"/>
          <w:u w:val="none"/>
          <w:lang w:val="en-US" w:eastAsia="zh-CN" w:bidi="ar-SA"/>
        </w:rPr>
        <w:t>启动蔡甸区</w:t>
      </w:r>
      <w:r>
        <w:rPr>
          <w:rFonts w:hint="eastAsia" w:ascii="Times New Roman" w:hAnsi="Times New Roman" w:eastAsia="仿宋_GB2312" w:cs="仿宋_GB2312"/>
          <w:b w:val="0"/>
          <w:color w:val="auto"/>
          <w:kern w:val="0"/>
          <w:sz w:val="32"/>
          <w:szCs w:val="32"/>
          <w:lang w:val="en-US" w:eastAsia="zh-CN" w:bidi="ar-SA"/>
        </w:rPr>
        <w:t>生猪定点屠宰项目</w:t>
      </w:r>
      <w:r>
        <w:rPr>
          <w:rFonts w:hint="eastAsia" w:ascii="Times New Roman" w:hAnsi="Times New Roman" w:eastAsia="仿宋_GB2312" w:cs="仿宋_GB2312"/>
          <w:b w:val="0"/>
          <w:kern w:val="0"/>
          <w:sz w:val="32"/>
          <w:szCs w:val="32"/>
          <w:u w:val="none"/>
          <w:lang w:val="en-US" w:eastAsia="zh-CN" w:bidi="ar-SA"/>
        </w:rPr>
        <w:t>，加快建成新洲区家禽集中屠宰项目。</w:t>
      </w:r>
    </w:p>
    <w:p w14:paraId="75A566E0">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仿宋_GB2312" w:cs="仿宋_GB2312"/>
          <w:b w:val="0"/>
          <w:color w:val="auto"/>
          <w:kern w:val="0"/>
          <w:sz w:val="32"/>
          <w:szCs w:val="32"/>
          <w:lang w:val="en-US" w:eastAsia="zh-CN" w:bidi="ar-SA"/>
        </w:rPr>
      </w:pPr>
      <w:r>
        <w:rPr>
          <w:rFonts w:hint="eastAsia" w:ascii="Times New Roman" w:hAnsi="Times New Roman" w:eastAsia="仿宋_GB2312" w:cs="仿宋_GB2312"/>
          <w:b w:val="0"/>
          <w:kern w:val="0"/>
          <w:sz w:val="32"/>
          <w:szCs w:val="32"/>
          <w:lang w:val="en-US" w:eastAsia="zh-CN" w:bidi="ar-SA"/>
        </w:rPr>
        <w:t>奖补标准</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b w:val="0"/>
          <w:color w:val="auto"/>
          <w:kern w:val="0"/>
          <w:sz w:val="32"/>
          <w:szCs w:val="32"/>
          <w:lang w:val="en-US" w:eastAsia="zh-CN" w:bidi="ar-SA"/>
        </w:rPr>
        <w:t>蔡甸区新建生猪屠宰企业建成投产后1个月内，关闭蔡甸、汉南区现有A类、B类生猪定点屠宰企业，市级财政分别按照每个150万元、30万元给予一次性奖补；对新洲区新建家禽集中屠宰项目，建成后市级财政根据设计年屠宰能力及年交易量，每1000万只给予1000万元一次性奖补。</w:t>
      </w:r>
    </w:p>
    <w:p w14:paraId="0231457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建设标准、</w:t>
      </w:r>
      <w:r>
        <w:rPr>
          <w:rFonts w:hint="eastAsia" w:ascii="Times New Roman" w:hAnsi="Times New Roman" w:eastAsia="仿宋_GB2312" w:cs="仿宋_GB2312"/>
          <w:color w:val="auto"/>
          <w:kern w:val="0"/>
          <w:sz w:val="32"/>
          <w:szCs w:val="32"/>
          <w:lang w:val="en-US" w:eastAsia="zh-CN" w:bidi="ar-SA"/>
        </w:rPr>
        <w:t>申报条件及项目管理程序</w:t>
      </w:r>
      <w:r>
        <w:rPr>
          <w:rFonts w:hint="eastAsia" w:ascii="Times New Roman" w:hAnsi="Times New Roman" w:eastAsia="仿宋_GB2312" w:cs="仿宋_GB2312"/>
          <w:color w:val="auto"/>
          <w:kern w:val="0"/>
          <w:sz w:val="32"/>
          <w:szCs w:val="32"/>
          <w:lang w:val="en-US" w:eastAsia="zh-CN"/>
        </w:rPr>
        <w:t>：按照《市畜禽屠宰经营管理领导小组办公室关于印发武汉市畜禽屠宰行业转型升级实施方案的通知》（武屠领办﹝2020﹞8号）执行。</w:t>
      </w:r>
    </w:p>
    <w:p w14:paraId="27BC311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项目后评价：</w:t>
      </w:r>
      <w:r>
        <w:rPr>
          <w:rFonts w:hint="eastAsia" w:ascii="Times New Roman" w:hAnsi="Times New Roman" w:eastAsia="仿宋_GB2312" w:cs="仿宋_GB2312"/>
          <w:color w:val="auto"/>
          <w:sz w:val="32"/>
          <w:szCs w:val="32"/>
        </w:rPr>
        <w:t>参照《中央预算内投资项目监督管理办法》</w:t>
      </w:r>
      <w:r>
        <w:rPr>
          <w:rFonts w:hint="eastAsia" w:ascii="Times New Roman" w:hAnsi="Times New Roman" w:eastAsia="仿宋_GB2312" w:cs="仿宋_GB2312"/>
          <w:color w:val="auto"/>
          <w:sz w:val="32"/>
          <w:szCs w:val="32"/>
          <w:lang w:eastAsia="zh-CN"/>
        </w:rPr>
        <w:t>对</w:t>
      </w:r>
      <w:r>
        <w:rPr>
          <w:rFonts w:hint="eastAsia" w:ascii="Times New Roman" w:hAnsi="Times New Roman" w:eastAsia="仿宋_GB2312" w:cs="仿宋_GB2312"/>
          <w:color w:val="auto"/>
          <w:sz w:val="32"/>
          <w:szCs w:val="32"/>
        </w:rPr>
        <w:t>市级投资奖补</w:t>
      </w:r>
      <w:r>
        <w:rPr>
          <w:rFonts w:hint="eastAsia" w:ascii="Times New Roman" w:hAnsi="Times New Roman" w:eastAsia="仿宋_GB2312" w:cs="仿宋_GB2312"/>
          <w:color w:val="auto"/>
          <w:sz w:val="32"/>
          <w:szCs w:val="32"/>
          <w:lang w:eastAsia="zh-CN"/>
        </w:rPr>
        <w:t>类</w:t>
      </w:r>
      <w:r>
        <w:rPr>
          <w:rFonts w:hint="eastAsia" w:ascii="Times New Roman" w:hAnsi="Times New Roman" w:eastAsia="仿宋_GB2312" w:cs="仿宋_GB2312"/>
          <w:color w:val="auto"/>
          <w:sz w:val="32"/>
          <w:szCs w:val="32"/>
        </w:rPr>
        <w:t>项目</w:t>
      </w:r>
      <w:r>
        <w:rPr>
          <w:rFonts w:hint="eastAsia" w:ascii="Times New Roman" w:hAnsi="Times New Roman" w:eastAsia="仿宋_GB2312" w:cs="仿宋_GB2312"/>
          <w:color w:val="auto"/>
          <w:sz w:val="32"/>
          <w:szCs w:val="32"/>
          <w:lang w:eastAsia="zh-CN"/>
        </w:rPr>
        <w:t>开展</w:t>
      </w:r>
      <w:r>
        <w:rPr>
          <w:rFonts w:hint="eastAsia" w:ascii="Times New Roman" w:hAnsi="Times New Roman" w:eastAsia="仿宋_GB2312" w:cs="仿宋_GB2312"/>
          <w:color w:val="auto"/>
          <w:sz w:val="32"/>
          <w:szCs w:val="32"/>
        </w:rPr>
        <w:t>全生命周期管理</w:t>
      </w:r>
      <w:r>
        <w:rPr>
          <w:rFonts w:hint="eastAsia" w:ascii="Times New Roman" w:hAnsi="Times New Roman" w:eastAsia="仿宋_GB2312" w:cs="仿宋_GB2312"/>
          <w:color w:val="auto"/>
          <w:sz w:val="32"/>
          <w:szCs w:val="32"/>
          <w:lang w:eastAsia="zh-CN"/>
        </w:rPr>
        <w:t>。各区</w:t>
      </w:r>
      <w:r>
        <w:rPr>
          <w:rFonts w:hint="eastAsia" w:ascii="Times New Roman" w:hAnsi="Times New Roman" w:eastAsia="仿宋_GB2312" w:cs="仿宋_GB2312"/>
          <w:color w:val="auto"/>
          <w:sz w:val="32"/>
          <w:szCs w:val="32"/>
        </w:rPr>
        <w:t>在项目建成并投入使用一定时间后组织开展项目后评价，</w:t>
      </w:r>
      <w:r>
        <w:rPr>
          <w:rFonts w:hint="eastAsia" w:ascii="Times New Roman" w:hAnsi="Times New Roman" w:eastAsia="仿宋_GB2312" w:cs="仿宋_GB2312"/>
          <w:color w:val="auto"/>
          <w:sz w:val="32"/>
          <w:szCs w:val="32"/>
          <w:lang w:eastAsia="zh-CN"/>
        </w:rPr>
        <w:t>比对市级财政</w:t>
      </w:r>
      <w:r>
        <w:rPr>
          <w:rFonts w:hint="eastAsia" w:ascii="Times New Roman" w:hAnsi="Times New Roman" w:eastAsia="仿宋_GB2312" w:cs="仿宋_GB2312"/>
          <w:color w:val="auto"/>
          <w:sz w:val="32"/>
          <w:szCs w:val="32"/>
        </w:rPr>
        <w:t>审批的</w:t>
      </w:r>
      <w:r>
        <w:rPr>
          <w:rFonts w:hint="eastAsia" w:ascii="Times New Roman" w:hAnsi="Times New Roman" w:eastAsia="仿宋_GB2312" w:cs="仿宋_GB2312"/>
          <w:color w:val="auto"/>
          <w:sz w:val="32"/>
          <w:szCs w:val="32"/>
          <w:lang w:eastAsia="zh-CN"/>
        </w:rPr>
        <w:t>绩效目标</w:t>
      </w:r>
      <w:r>
        <w:rPr>
          <w:rFonts w:hint="eastAsia" w:ascii="Times New Roman" w:hAnsi="Times New Roman" w:eastAsia="仿宋_GB2312" w:cs="仿宋_GB2312"/>
          <w:color w:val="auto"/>
          <w:sz w:val="32"/>
          <w:szCs w:val="32"/>
        </w:rPr>
        <w:t>提出评估评价意见和对策建议，促进预算内投资更好发挥综合效益。</w:t>
      </w:r>
    </w:p>
    <w:p w14:paraId="659A46A0">
      <w:pPr>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楷体_GB2312" w:cs="楷体_GB2312"/>
          <w:b w:val="0"/>
          <w:color w:val="auto"/>
          <w:kern w:val="0"/>
          <w:sz w:val="32"/>
          <w:szCs w:val="32"/>
          <w:lang w:val="en-US" w:eastAsia="zh-CN" w:bidi="ar-SA"/>
        </w:rPr>
      </w:pPr>
      <w:r>
        <w:rPr>
          <w:rFonts w:hint="eastAsia" w:ascii="Times New Roman" w:hAnsi="Times New Roman" w:eastAsia="楷体_GB2312" w:cs="楷体_GB2312"/>
          <w:b w:val="0"/>
          <w:color w:val="auto"/>
          <w:kern w:val="0"/>
          <w:sz w:val="32"/>
          <w:szCs w:val="32"/>
          <w:lang w:val="en-US" w:eastAsia="zh-CN" w:bidi="ar-SA"/>
        </w:rPr>
        <w:t>畜禽产业链精深加工</w:t>
      </w:r>
    </w:p>
    <w:p w14:paraId="7A96926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b w:val="0"/>
          <w:color w:val="auto"/>
          <w:kern w:val="0"/>
          <w:sz w:val="32"/>
          <w:szCs w:val="32"/>
          <w:lang w:val="en-US" w:eastAsia="zh-CN" w:bidi="ar-SA"/>
        </w:rPr>
        <w:t>奖补标准</w:t>
      </w:r>
      <w:r>
        <w:rPr>
          <w:rFonts w:hint="eastAsia" w:ascii="Times New Roman" w:hAnsi="Times New Roman" w:eastAsia="仿宋_GB2312" w:cs="仿宋_GB2312"/>
          <w:color w:val="auto"/>
          <w:kern w:val="0"/>
          <w:sz w:val="32"/>
          <w:szCs w:val="32"/>
          <w:lang w:val="en-US" w:eastAsia="zh-CN"/>
        </w:rPr>
        <w:t>：对于生产性基本建设投资达到1000万元以上的农产品加工新建项目、200万元以上的农产品加工扩（改）建项目，初加工按照投资额的8%给予不超过500万元的一次性补助，精深加工按照投资额的10%给予不超过800万元的一次性补助。对2024年度销售收入首次达到100亿元、50亿元、30亿元、10亿元的农产品加工龙头企业，分别给予500万元、300万元、200万元、100万元的一次性奖励。</w:t>
      </w:r>
    </w:p>
    <w:p w14:paraId="64143C2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ascii="Times New Roman" w:hAnsi="Times New Roman" w:eastAsia="黑体"/>
          <w:color w:val="auto"/>
          <w:sz w:val="32"/>
          <w:szCs w:val="32"/>
        </w:rPr>
      </w:pPr>
      <w:r>
        <w:rPr>
          <w:rFonts w:hint="eastAsia" w:ascii="Times New Roman" w:hAnsi="Times New Roman" w:eastAsia="黑体"/>
          <w:color w:val="auto"/>
          <w:sz w:val="32"/>
          <w:szCs w:val="32"/>
          <w:lang w:eastAsia="zh-CN"/>
        </w:rPr>
        <w:t>三</w:t>
      </w:r>
      <w:r>
        <w:rPr>
          <w:rFonts w:ascii="Times New Roman" w:hAnsi="Times New Roman" w:eastAsia="黑体"/>
          <w:color w:val="auto"/>
          <w:sz w:val="32"/>
          <w:szCs w:val="32"/>
        </w:rPr>
        <w:t>、</w:t>
      </w:r>
      <w:r>
        <w:rPr>
          <w:rFonts w:hint="eastAsia" w:ascii="Times New Roman" w:hAnsi="Times New Roman" w:eastAsia="黑体"/>
          <w:color w:val="auto"/>
          <w:sz w:val="32"/>
          <w:szCs w:val="32"/>
          <w:lang w:eastAsia="zh-CN"/>
        </w:rPr>
        <w:t>申报</w:t>
      </w:r>
      <w:r>
        <w:rPr>
          <w:rFonts w:ascii="Times New Roman" w:hAnsi="Times New Roman" w:eastAsia="黑体"/>
          <w:color w:val="auto"/>
          <w:sz w:val="32"/>
          <w:szCs w:val="32"/>
        </w:rPr>
        <w:t>原则</w:t>
      </w:r>
    </w:p>
    <w:p w14:paraId="26D7121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ascii="Times New Roman" w:hAnsi="Times New Roman" w:eastAsia="仿宋_GB2312"/>
          <w:sz w:val="32"/>
          <w:szCs w:val="32"/>
        </w:rPr>
      </w:pPr>
      <w:r>
        <w:rPr>
          <w:rFonts w:hint="eastAsia" w:ascii="Times New Roman" w:hAnsi="Times New Roman" w:eastAsia="楷体_GB2312" w:cs="楷体_GB2312"/>
          <w:b w:val="0"/>
          <w:kern w:val="0"/>
          <w:sz w:val="32"/>
          <w:szCs w:val="32"/>
          <w:lang w:val="en-US" w:eastAsia="zh-CN" w:bidi="ar-SA"/>
        </w:rPr>
        <w:t>（一）企业主体原则。</w:t>
      </w:r>
      <w:r>
        <w:rPr>
          <w:rFonts w:ascii="Times New Roman" w:hAnsi="Times New Roman" w:eastAsia="仿宋_GB2312"/>
          <w:sz w:val="32"/>
          <w:szCs w:val="32"/>
        </w:rPr>
        <w:t>充分发挥企业在产业</w:t>
      </w:r>
      <w:r>
        <w:rPr>
          <w:rFonts w:hint="eastAsia" w:ascii="Times New Roman" w:hAnsi="Times New Roman" w:eastAsia="仿宋_GB2312"/>
          <w:sz w:val="32"/>
          <w:szCs w:val="32"/>
          <w:lang w:eastAsia="zh-CN"/>
        </w:rPr>
        <w:t>高质量</w:t>
      </w:r>
      <w:r>
        <w:rPr>
          <w:rFonts w:ascii="Times New Roman" w:hAnsi="Times New Roman" w:eastAsia="仿宋_GB2312"/>
          <w:sz w:val="32"/>
          <w:szCs w:val="32"/>
        </w:rPr>
        <w:t>发展、</w:t>
      </w:r>
      <w:r>
        <w:rPr>
          <w:rFonts w:hint="eastAsia" w:ascii="Times New Roman" w:hAnsi="Times New Roman" w:eastAsia="仿宋_GB2312"/>
          <w:sz w:val="32"/>
          <w:szCs w:val="32"/>
          <w:lang w:eastAsia="zh-CN"/>
        </w:rPr>
        <w:t>“</w:t>
      </w:r>
      <w:r>
        <w:rPr>
          <w:rFonts w:ascii="Times New Roman" w:hAnsi="Times New Roman" w:eastAsia="仿宋_GB2312"/>
          <w:sz w:val="32"/>
          <w:szCs w:val="32"/>
        </w:rPr>
        <w:t>菜篮子</w:t>
      </w:r>
      <w:r>
        <w:rPr>
          <w:rFonts w:hint="eastAsia" w:ascii="Times New Roman" w:hAnsi="Times New Roman" w:eastAsia="仿宋_GB2312"/>
          <w:sz w:val="32"/>
          <w:szCs w:val="32"/>
          <w:lang w:eastAsia="zh-CN"/>
        </w:rPr>
        <w:t>”稳产</w:t>
      </w:r>
      <w:r>
        <w:rPr>
          <w:rFonts w:ascii="Times New Roman" w:hAnsi="Times New Roman" w:eastAsia="仿宋_GB2312"/>
          <w:sz w:val="32"/>
          <w:szCs w:val="32"/>
        </w:rPr>
        <w:t>保供中的主体作用，进一步扶持</w:t>
      </w:r>
      <w:r>
        <w:rPr>
          <w:rFonts w:hint="eastAsia" w:ascii="Times New Roman" w:hAnsi="Times New Roman" w:eastAsia="仿宋_GB2312"/>
          <w:sz w:val="32"/>
          <w:szCs w:val="32"/>
          <w:lang w:eastAsia="zh-CN"/>
        </w:rPr>
        <w:t>生猪蛋鸡</w:t>
      </w:r>
      <w:r>
        <w:rPr>
          <w:rFonts w:ascii="Times New Roman" w:hAnsi="Times New Roman" w:eastAsia="仿宋_GB2312"/>
          <w:sz w:val="32"/>
          <w:szCs w:val="32"/>
        </w:rPr>
        <w:t>养殖、</w:t>
      </w:r>
      <w:r>
        <w:rPr>
          <w:rFonts w:hint="eastAsia" w:ascii="Times New Roman" w:hAnsi="Times New Roman" w:eastAsia="仿宋_GB2312"/>
          <w:sz w:val="32"/>
          <w:szCs w:val="32"/>
          <w:lang w:eastAsia="zh-CN"/>
        </w:rPr>
        <w:t>屠宰</w:t>
      </w:r>
      <w:r>
        <w:rPr>
          <w:rFonts w:ascii="Times New Roman" w:hAnsi="Times New Roman" w:eastAsia="仿宋_GB2312"/>
          <w:sz w:val="32"/>
          <w:szCs w:val="32"/>
        </w:rPr>
        <w:t>企业不断发展壮大。</w:t>
      </w:r>
    </w:p>
    <w:p w14:paraId="4F82284E">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textAlignment w:val="auto"/>
        <w:rPr>
          <w:rFonts w:ascii="Times New Roman" w:hAnsi="Times New Roman" w:eastAsia="仿宋_GB2312"/>
          <w:sz w:val="32"/>
          <w:szCs w:val="32"/>
        </w:rPr>
      </w:pPr>
      <w:r>
        <w:rPr>
          <w:rFonts w:hint="eastAsia" w:ascii="Times New Roman" w:hAnsi="Times New Roman" w:eastAsia="楷体_GB2312" w:cs="楷体_GB2312"/>
          <w:b w:val="0"/>
          <w:kern w:val="0"/>
          <w:sz w:val="32"/>
          <w:szCs w:val="32"/>
          <w:lang w:val="en-US" w:eastAsia="zh-CN" w:bidi="ar-SA"/>
        </w:rPr>
        <w:t>（二）自愿参与原则。</w:t>
      </w:r>
      <w:r>
        <w:rPr>
          <w:rFonts w:ascii="Times New Roman" w:hAnsi="Times New Roman" w:eastAsia="仿宋_GB2312"/>
          <w:sz w:val="32"/>
          <w:szCs w:val="32"/>
        </w:rPr>
        <w:t>符合项目申报条件的企业，可根据自身实际情况，自愿参与项目建设，并严格按照项目建设管理的相关要求公平参与竞争。</w:t>
      </w:r>
    </w:p>
    <w:p w14:paraId="62C1E0E8">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textAlignment w:val="auto"/>
        <w:rPr>
          <w:rFonts w:ascii="Times New Roman" w:hAnsi="Times New Roman" w:eastAsia="仿宋_GB2312"/>
          <w:spacing w:val="-11"/>
          <w:sz w:val="32"/>
          <w:szCs w:val="32"/>
        </w:rPr>
      </w:pPr>
      <w:r>
        <w:rPr>
          <w:rFonts w:hint="eastAsia" w:ascii="Times New Roman" w:hAnsi="Times New Roman" w:eastAsia="楷体_GB2312" w:cs="楷体_GB2312"/>
          <w:b w:val="0"/>
          <w:kern w:val="0"/>
          <w:sz w:val="32"/>
          <w:szCs w:val="32"/>
          <w:lang w:val="en-US" w:eastAsia="zh-CN" w:bidi="ar-SA"/>
        </w:rPr>
        <w:t>（三）先建后补原则。</w:t>
      </w:r>
      <w:r>
        <w:rPr>
          <w:rFonts w:ascii="Times New Roman" w:hAnsi="Times New Roman" w:eastAsia="仿宋_GB2312"/>
          <w:spacing w:val="-11"/>
          <w:sz w:val="32"/>
          <w:szCs w:val="32"/>
        </w:rPr>
        <w:t>实行</w:t>
      </w:r>
      <w:r>
        <w:rPr>
          <w:rFonts w:hint="eastAsia" w:ascii="Times New Roman" w:hAnsi="Times New Roman" w:eastAsia="仿宋_GB2312"/>
          <w:spacing w:val="-11"/>
          <w:sz w:val="32"/>
          <w:szCs w:val="32"/>
          <w:lang w:eastAsia="zh-CN"/>
        </w:rPr>
        <w:t>“</w:t>
      </w:r>
      <w:r>
        <w:rPr>
          <w:rFonts w:ascii="Times New Roman" w:hAnsi="Times New Roman" w:eastAsia="仿宋_GB2312"/>
          <w:spacing w:val="-11"/>
          <w:sz w:val="32"/>
          <w:szCs w:val="32"/>
        </w:rPr>
        <w:t>先建设项目、后补助资金</w:t>
      </w:r>
      <w:r>
        <w:rPr>
          <w:rFonts w:hint="eastAsia" w:ascii="Times New Roman" w:hAnsi="Times New Roman" w:eastAsia="仿宋_GB2312"/>
          <w:spacing w:val="-11"/>
          <w:sz w:val="32"/>
          <w:szCs w:val="32"/>
          <w:lang w:eastAsia="zh-CN"/>
        </w:rPr>
        <w:t>”</w:t>
      </w:r>
      <w:r>
        <w:rPr>
          <w:rFonts w:ascii="Times New Roman" w:hAnsi="Times New Roman" w:eastAsia="仿宋_GB2312"/>
          <w:spacing w:val="-11"/>
          <w:sz w:val="32"/>
          <w:szCs w:val="32"/>
        </w:rPr>
        <w:t>的管理方式，项目建设单位按照项目实施方案和建设标准，自行筹集资金先行建设项目并在规定期限内完工，验收合格后，给予财政资金补助。</w:t>
      </w:r>
    </w:p>
    <w:p w14:paraId="5EF2E79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lang w:eastAsia="zh-CN"/>
        </w:rPr>
        <w:t>四</w:t>
      </w:r>
      <w:r>
        <w:rPr>
          <w:rFonts w:ascii="Times New Roman" w:hAnsi="Times New Roman" w:eastAsia="黑体"/>
          <w:sz w:val="32"/>
          <w:szCs w:val="32"/>
        </w:rPr>
        <w:t>、</w:t>
      </w:r>
      <w:r>
        <w:rPr>
          <w:rFonts w:hint="eastAsia" w:ascii="Times New Roman" w:hAnsi="Times New Roman" w:eastAsia="黑体"/>
          <w:sz w:val="32"/>
          <w:szCs w:val="32"/>
          <w:lang w:eastAsia="zh-CN"/>
        </w:rPr>
        <w:t>有关要求</w:t>
      </w:r>
    </w:p>
    <w:p w14:paraId="72DFDEA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相关区要抢抓进度注重实效，具体时间安排如下：2025年8月31日前完成项目建设；2025年10月31日前完成项目验收；2025年11月30日前完成项目奖补资金拨付。</w:t>
      </w:r>
    </w:p>
    <w:p w14:paraId="4FB3362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仿宋_GB2312"/>
          <w:kern w:val="0"/>
          <w:sz w:val="32"/>
          <w:szCs w:val="32"/>
          <w:lang w:val="en-US" w:eastAsia="zh-CN"/>
        </w:rPr>
      </w:pPr>
    </w:p>
    <w:p w14:paraId="1F9DB8F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仿宋_GB2312" w:cs="Times New Roman"/>
          <w:b w:val="0"/>
          <w:color w:val="auto"/>
          <w:kern w:val="0"/>
          <w:sz w:val="32"/>
          <w:szCs w:val="32"/>
          <w:lang w:val="en-US" w:eastAsia="zh-CN" w:bidi="ar-SA"/>
        </w:rPr>
      </w:pPr>
      <w:r>
        <w:rPr>
          <w:rFonts w:hint="eastAsia" w:ascii="Times New Roman" w:hAnsi="Times New Roman" w:eastAsia="仿宋_GB2312" w:cs="Times New Roman"/>
          <w:b w:val="0"/>
          <w:color w:val="auto"/>
          <w:kern w:val="0"/>
          <w:sz w:val="32"/>
          <w:szCs w:val="32"/>
          <w:lang w:val="en-US" w:eastAsia="zh-CN" w:bidi="ar-SA"/>
        </w:rPr>
        <w:t>联系人：市农业农村局畜牧兽医处</w:t>
      </w:r>
    </w:p>
    <w:p w14:paraId="4EDE9855">
      <w:pPr>
        <w:keepNext w:val="0"/>
        <w:keepLines w:val="0"/>
        <w:pageBreakBefore w:val="0"/>
        <w:widowControl w:val="0"/>
        <w:kinsoku/>
        <w:wordWrap/>
        <w:overflowPunct/>
        <w:topLinePunct w:val="0"/>
        <w:autoSpaceDE/>
        <w:autoSpaceDN/>
        <w:bidi w:val="0"/>
        <w:adjustRightInd w:val="0"/>
        <w:snapToGrid w:val="0"/>
        <w:spacing w:line="570" w:lineRule="exact"/>
        <w:ind w:firstLine="1920" w:firstLineChars="600"/>
        <w:textAlignment w:val="auto"/>
        <w:rPr>
          <w:rFonts w:hint="eastAsia" w:ascii="Times New Roman" w:hAnsi="Times New Roman" w:eastAsia="仿宋_GB2312" w:cs="Times New Roman"/>
          <w:b w:val="0"/>
          <w:color w:val="auto"/>
          <w:kern w:val="0"/>
          <w:sz w:val="32"/>
          <w:szCs w:val="32"/>
          <w:lang w:val="en-US" w:eastAsia="zh-CN" w:bidi="ar-SA"/>
        </w:rPr>
      </w:pPr>
      <w:r>
        <w:rPr>
          <w:rFonts w:hint="eastAsia" w:ascii="Times New Roman" w:hAnsi="Times New Roman" w:eastAsia="仿宋_GB2312" w:cs="Times New Roman"/>
          <w:b w:val="0"/>
          <w:color w:val="auto"/>
          <w:kern w:val="0"/>
          <w:sz w:val="32"/>
          <w:szCs w:val="32"/>
          <w:lang w:val="en-US" w:eastAsia="zh-CN" w:bidi="ar-SA"/>
        </w:rPr>
        <w:t>马文超027-65683240</w:t>
      </w:r>
    </w:p>
    <w:p w14:paraId="37D60461">
      <w:pPr>
        <w:keepNext w:val="0"/>
        <w:keepLines w:val="0"/>
        <w:pageBreakBefore w:val="0"/>
        <w:widowControl w:val="0"/>
        <w:kinsoku/>
        <w:wordWrap/>
        <w:overflowPunct/>
        <w:topLinePunct w:val="0"/>
        <w:autoSpaceDE/>
        <w:autoSpaceDN/>
        <w:bidi w:val="0"/>
        <w:adjustRightInd w:val="0"/>
        <w:snapToGrid w:val="0"/>
        <w:spacing w:line="570" w:lineRule="exact"/>
        <w:ind w:firstLine="1920" w:firstLineChars="600"/>
        <w:textAlignment w:val="auto"/>
        <w:rPr>
          <w:rFonts w:hint="default" w:ascii="Times New Roman" w:hAnsi="Times New Roman" w:eastAsia="仿宋_GB2312" w:cs="Times New Roman"/>
          <w:b w:val="0"/>
          <w:color w:val="auto"/>
          <w:kern w:val="0"/>
          <w:sz w:val="32"/>
          <w:szCs w:val="32"/>
          <w:lang w:val="en-US" w:eastAsia="zh-CN" w:bidi="ar-SA"/>
        </w:rPr>
      </w:pPr>
      <w:r>
        <w:rPr>
          <w:rFonts w:hint="eastAsia" w:ascii="Times New Roman" w:hAnsi="Times New Roman" w:eastAsia="仿宋_GB2312" w:cs="Times New Roman"/>
          <w:b w:val="0"/>
          <w:color w:val="auto"/>
          <w:kern w:val="0"/>
          <w:sz w:val="32"/>
          <w:szCs w:val="32"/>
          <w:lang w:val="en-US" w:eastAsia="zh-CN" w:bidi="ar-SA"/>
        </w:rPr>
        <w:t>孔阳光027-85449363</w:t>
      </w:r>
    </w:p>
    <w:p w14:paraId="7CC666E9">
      <w:pPr>
        <w:keepNext w:val="0"/>
        <w:keepLines w:val="0"/>
        <w:pageBreakBefore w:val="0"/>
        <w:widowControl w:val="0"/>
        <w:kinsoku/>
        <w:wordWrap/>
        <w:overflowPunct/>
        <w:topLinePunct w:val="0"/>
        <w:autoSpaceDE/>
        <w:autoSpaceDN/>
        <w:bidi w:val="0"/>
        <w:adjustRightInd w:val="0"/>
        <w:snapToGrid w:val="0"/>
        <w:spacing w:line="570" w:lineRule="exact"/>
        <w:ind w:firstLine="1920" w:firstLineChars="600"/>
        <w:textAlignment w:val="auto"/>
        <w:rPr>
          <w:rFonts w:hint="eastAsia" w:ascii="Times New Roman" w:hAnsi="Times New Roman" w:eastAsia="仿宋_GB2312" w:cs="Times New Roman"/>
          <w:b w:val="0"/>
          <w:color w:val="auto"/>
          <w:kern w:val="0"/>
          <w:sz w:val="32"/>
          <w:szCs w:val="32"/>
          <w:lang w:val="en-US" w:eastAsia="zh-CN" w:bidi="ar-SA"/>
        </w:rPr>
      </w:pPr>
      <w:r>
        <w:rPr>
          <w:rFonts w:hint="eastAsia" w:ascii="Times New Roman" w:hAnsi="Times New Roman" w:eastAsia="仿宋_GB2312" w:cs="Times New Roman"/>
          <w:b w:val="0"/>
          <w:color w:val="auto"/>
          <w:kern w:val="0"/>
          <w:sz w:val="32"/>
          <w:szCs w:val="32"/>
          <w:lang w:val="en-US" w:eastAsia="zh-CN" w:bidi="ar-SA"/>
        </w:rPr>
        <w:t>市农业农村局乡村产业处</w:t>
      </w:r>
    </w:p>
    <w:p w14:paraId="78943EC4">
      <w:pPr>
        <w:keepNext w:val="0"/>
        <w:keepLines w:val="0"/>
        <w:pageBreakBefore w:val="0"/>
        <w:widowControl w:val="0"/>
        <w:kinsoku/>
        <w:wordWrap/>
        <w:overflowPunct/>
        <w:topLinePunct w:val="0"/>
        <w:autoSpaceDE/>
        <w:autoSpaceDN/>
        <w:bidi w:val="0"/>
        <w:adjustRightInd w:val="0"/>
        <w:snapToGrid w:val="0"/>
        <w:spacing w:line="570" w:lineRule="exact"/>
        <w:ind w:firstLine="1920" w:firstLineChars="600"/>
        <w:textAlignment w:val="auto"/>
        <w:rPr>
          <w:rFonts w:hint="default" w:ascii="Times New Roman" w:hAnsi="Times New Roman" w:eastAsia="仿宋_GB2312" w:cs="Times New Roman"/>
          <w:b w:val="0"/>
          <w:color w:val="auto"/>
          <w:kern w:val="0"/>
          <w:sz w:val="32"/>
          <w:szCs w:val="32"/>
          <w:lang w:val="en-US" w:eastAsia="zh-CN" w:bidi="ar-SA"/>
        </w:rPr>
      </w:pPr>
      <w:r>
        <w:rPr>
          <w:rFonts w:hint="eastAsia" w:ascii="Times New Roman" w:hAnsi="Times New Roman" w:eastAsia="仿宋_GB2312" w:cs="Times New Roman"/>
          <w:b w:val="0"/>
          <w:color w:val="auto"/>
          <w:kern w:val="0"/>
          <w:sz w:val="32"/>
          <w:szCs w:val="32"/>
          <w:lang w:val="en-US" w:eastAsia="zh-CN" w:bidi="ar-SA"/>
        </w:rPr>
        <w:t>姜  勇027-65683315</w:t>
      </w:r>
    </w:p>
    <w:p w14:paraId="3A567476">
      <w:pPr>
        <w:pStyle w:val="5"/>
        <w:pageBreakBefore w:val="0"/>
        <w:kinsoku/>
        <w:wordWrap/>
        <w:topLinePunct w:val="0"/>
        <w:bidi w:val="0"/>
        <w:spacing w:line="560" w:lineRule="exact"/>
        <w:textAlignment w:val="auto"/>
        <w:rPr>
          <w:rFonts w:hint="default" w:ascii="Times New Roman" w:hAnsi="Times New Roman" w:cs="仿宋_GB2312"/>
          <w:color w:val="auto"/>
          <w:kern w:val="0"/>
          <w:highlight w:val="none"/>
          <w:lang w:val="en-US" w:eastAsia="zh-CN" w:bidi="ar"/>
        </w:rPr>
      </w:pPr>
    </w:p>
    <w:p w14:paraId="4BF4BD20">
      <w:pPr>
        <w:rPr>
          <w:rFonts w:ascii="Times New Roman" w:hAnsi="Times New Roman"/>
        </w:rPr>
      </w:pPr>
    </w:p>
    <w:p w14:paraId="2CB5BF46">
      <w:pPr>
        <w:rPr>
          <w:rFonts w:ascii="Times New Roman" w:hAnsi="Times New Roman"/>
        </w:rPr>
      </w:pPr>
    </w:p>
    <w:p w14:paraId="6391EF4C">
      <w:pPr>
        <w:rPr>
          <w:rFonts w:hint="default" w:ascii="Times New Roman" w:hAnsi="Times New Roman"/>
          <w:lang w:val="en-US" w:eastAsia="zh-CN"/>
        </w:rPr>
      </w:pPr>
    </w:p>
    <w:p w14:paraId="49BFB31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22BC10-7E38-413F-B019-AAC97263B7D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BDB3626-58C5-4744-B5DE-ADECC8DFB59B}"/>
  </w:font>
  <w:font w:name="仿宋_GB2312">
    <w:panose1 w:val="02010609030101010101"/>
    <w:charset w:val="86"/>
    <w:family w:val="modern"/>
    <w:pitch w:val="default"/>
    <w:sig w:usb0="00000001" w:usb1="080E0000" w:usb2="00000000" w:usb3="00000000" w:csb0="00040000" w:csb1="00000000"/>
    <w:embedRegular r:id="rId3" w:fontKey="{19C2A06E-24B7-4B5D-B071-0F941BC43771}"/>
  </w:font>
  <w:font w:name="方正小标宋简体">
    <w:panose1 w:val="02000000000000000000"/>
    <w:charset w:val="86"/>
    <w:family w:val="auto"/>
    <w:pitch w:val="default"/>
    <w:sig w:usb0="00000001" w:usb1="08000000" w:usb2="00000000" w:usb3="00000000" w:csb0="00040000" w:csb1="00000000"/>
    <w:embedRegular r:id="rId4" w:fontKey="{B9C204EF-3242-484A-A6D0-FAB3C4330942}"/>
  </w:font>
  <w:font w:name="楷体_GB2312">
    <w:panose1 w:val="02010609030101010101"/>
    <w:charset w:val="86"/>
    <w:family w:val="auto"/>
    <w:pitch w:val="default"/>
    <w:sig w:usb0="00000001" w:usb1="080E0000" w:usb2="00000000" w:usb3="00000000" w:csb0="00040000" w:csb1="00000000"/>
    <w:embedRegular r:id="rId5" w:fontKey="{42E5EC81-87A6-4716-A6CF-B6FD9665CAA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7F8641"/>
    <w:multiLevelType w:val="singleLevel"/>
    <w:tmpl w:val="EA7F864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6E7DCB"/>
    <w:rsid w:val="4F6E7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3"/>
    <w:basedOn w:val="1"/>
    <w:next w:val="1"/>
    <w:qFormat/>
    <w:uiPriority w:val="9"/>
    <w:pPr>
      <w:spacing w:before="260" w:after="260" w:line="415" w:lineRule="auto"/>
      <w:outlineLvl w:val="2"/>
    </w:pPr>
    <w:rPr>
      <w:rFonts w:ascii="Times New Roman" w:hAnsi="Times New Roman"/>
      <w:b/>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机关材料正文"/>
    <w:basedOn w:val="1"/>
    <w:qFormat/>
    <w:uiPriority w:val="0"/>
    <w:pPr>
      <w:widowControl w:val="0"/>
      <w:suppressAutoHyphens/>
      <w:spacing w:line="360" w:lineRule="auto"/>
      <w:ind w:firstLine="640" w:firstLineChars="200"/>
      <w:jc w:val="left"/>
    </w:pPr>
    <w:rPr>
      <w:rFonts w:ascii="仿宋_GB2312" w:hAnsi="Calibri" w:eastAsia="仿宋_GB2312" w:cs="Times New Roman"/>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2025-12-12T06:32:00Z</dcterms:created>
  <dc:creator>众创网</dc:creator>
  <cp:lastModifiedBy>众创网</cp:lastModifiedBy>
  <dcterms:modified xsi:type="dcterms:W3CDTF">2025-12-12T06:32:34Z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B4E97AADCA3B4A1C8686C393B24A10AA_11</vt:lpwstr>
  </property>
  <property fmtid="{D5CDD505-2E9C-101B-9397-08002B2CF9AE}" pid="4" name="KSOTemplateDocerSaveRecord">
    <vt:lpwstr>eyJoZGlkIjoiYTQ2ZjM4NmNlZDQ4MzMwZDU5N2NiN2NiNmVjZDk3ZDMiLCJ1c2VySWQiOiIxMzM0NzMxNDIwIn0=</vt:lpwstr>
  </property>
</Properties>
</file>